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062D4" w14:textId="77777777" w:rsidR="006C63C5" w:rsidRDefault="00EA0E81">
      <w:pPr>
        <w:spacing w:after="34" w:line="422" w:lineRule="auto"/>
        <w:ind w:left="4680" w:right="1884" w:hanging="2783"/>
        <w:jc w:val="left"/>
      </w:pPr>
      <w:r>
        <w:rPr>
          <w:rFonts w:ascii="Times New Roman" w:eastAsia="Times New Roman" w:hAnsi="Times New Roman" w:cs="Times New Roman"/>
          <w:b/>
          <w:sz w:val="24"/>
        </w:rPr>
        <w:t xml:space="preserve"> </w:t>
      </w:r>
      <w:r>
        <w:rPr>
          <w:i/>
          <w:sz w:val="22"/>
        </w:rPr>
        <w:t xml:space="preserve"> </w:t>
      </w:r>
      <w:r w:rsidR="00797AA9" w:rsidRPr="000377F3">
        <w:rPr>
          <w:rFonts w:ascii="Calibri" w:hAnsi="Calibri" w:cs="Calibri"/>
          <w:b/>
          <w:bCs/>
          <w:noProof/>
          <w:sz w:val="28"/>
          <w:szCs w:val="28"/>
          <w:lang w:val="en-US" w:eastAsia="en-US"/>
        </w:rPr>
        <w:drawing>
          <wp:inline distT="0" distB="0" distL="0" distR="0" wp14:anchorId="1F89CDF7" wp14:editId="04AF403F">
            <wp:extent cx="2854325" cy="1494790"/>
            <wp:effectExtent l="0" t="0" r="3175" b="0"/>
            <wp:docPr id="2" name="Picture 2" descr="Op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494790"/>
                    </a:xfrm>
                    <a:prstGeom prst="rect">
                      <a:avLst/>
                    </a:prstGeom>
                    <a:noFill/>
                    <a:ln>
                      <a:noFill/>
                    </a:ln>
                  </pic:spPr>
                </pic:pic>
              </a:graphicData>
            </a:graphic>
          </wp:inline>
        </w:drawing>
      </w:r>
    </w:p>
    <w:p w14:paraId="7CDC4271" w14:textId="55A8E259" w:rsidR="006C63C5" w:rsidRDefault="00EA0E81" w:rsidP="009A4B82">
      <w:pPr>
        <w:spacing w:after="367" w:line="259" w:lineRule="auto"/>
        <w:ind w:left="0" w:right="45" w:firstLine="0"/>
        <w:jc w:val="center"/>
      </w:pPr>
      <w:r>
        <w:rPr>
          <w:b/>
          <w:sz w:val="21"/>
          <w:u w:val="single" w:color="000000"/>
        </w:rPr>
        <w:t xml:space="preserve">For Immediate Release                                                                                       </w:t>
      </w:r>
      <w:r w:rsidR="00FD654C">
        <w:rPr>
          <w:b/>
          <w:sz w:val="21"/>
          <w:u w:val="single" w:color="000000"/>
        </w:rPr>
        <w:t xml:space="preserve">November </w:t>
      </w:r>
      <w:r w:rsidR="009A4B82">
        <w:rPr>
          <w:b/>
          <w:sz w:val="21"/>
          <w:u w:val="single" w:color="000000"/>
        </w:rPr>
        <w:t>25</w:t>
      </w:r>
      <w:r>
        <w:rPr>
          <w:b/>
          <w:sz w:val="21"/>
          <w:u w:val="single" w:color="000000"/>
        </w:rPr>
        <w:t>, 2015</w:t>
      </w:r>
    </w:p>
    <w:p w14:paraId="28EDEAC1" w14:textId="70B5FEA2" w:rsidR="006C63C5" w:rsidRPr="006315C2" w:rsidRDefault="00FD654C" w:rsidP="009A4B82">
      <w:pPr>
        <w:pStyle w:val="Heading1"/>
        <w:jc w:val="center"/>
        <w:rPr>
          <w:sz w:val="24"/>
          <w:szCs w:val="24"/>
        </w:rPr>
      </w:pPr>
      <w:r w:rsidRPr="006315C2">
        <w:rPr>
          <w:sz w:val="24"/>
          <w:szCs w:val="24"/>
        </w:rPr>
        <w:t xml:space="preserve">OPAL ENERGY </w:t>
      </w:r>
      <w:r w:rsidR="004D7C0C">
        <w:rPr>
          <w:sz w:val="24"/>
          <w:szCs w:val="24"/>
        </w:rPr>
        <w:t xml:space="preserve">CORP. </w:t>
      </w:r>
      <w:r w:rsidR="002750FA">
        <w:rPr>
          <w:sz w:val="24"/>
          <w:szCs w:val="24"/>
        </w:rPr>
        <w:t>PLANS</w:t>
      </w:r>
      <w:r w:rsidR="00DA3733">
        <w:rPr>
          <w:sz w:val="24"/>
          <w:szCs w:val="24"/>
        </w:rPr>
        <w:t xml:space="preserve"> TO ACQUIRE</w:t>
      </w:r>
      <w:r w:rsidR="00190396">
        <w:rPr>
          <w:sz w:val="24"/>
          <w:szCs w:val="24"/>
        </w:rPr>
        <w:t xml:space="preserve"> </w:t>
      </w:r>
      <w:r w:rsidRPr="006315C2">
        <w:rPr>
          <w:sz w:val="24"/>
          <w:szCs w:val="24"/>
        </w:rPr>
        <w:t>VERSUS LLC</w:t>
      </w:r>
    </w:p>
    <w:p w14:paraId="22FA388A" w14:textId="74CAF1B6" w:rsidR="001D77A1" w:rsidRDefault="00EA0E81" w:rsidP="006315C2">
      <w:pPr>
        <w:spacing w:after="0"/>
        <w:ind w:left="-5" w:right="38"/>
        <w:rPr>
          <w:sz w:val="22"/>
        </w:rPr>
      </w:pPr>
      <w:r w:rsidRPr="006315C2">
        <w:rPr>
          <w:b/>
          <w:sz w:val="22"/>
        </w:rPr>
        <w:t xml:space="preserve">Vancouver, B.C., </w:t>
      </w:r>
      <w:r w:rsidR="00FD654C" w:rsidRPr="006315C2">
        <w:rPr>
          <w:b/>
          <w:sz w:val="22"/>
        </w:rPr>
        <w:t xml:space="preserve">November </w:t>
      </w:r>
      <w:r w:rsidR="009A4B82">
        <w:rPr>
          <w:b/>
          <w:sz w:val="22"/>
          <w:u w:color="000000"/>
        </w:rPr>
        <w:t>25</w:t>
      </w:r>
      <w:r w:rsidRPr="006315C2">
        <w:rPr>
          <w:b/>
          <w:sz w:val="22"/>
        </w:rPr>
        <w:t xml:space="preserve">, 2015 – </w:t>
      </w:r>
      <w:r w:rsidR="00FD654C" w:rsidRPr="006315C2">
        <w:rPr>
          <w:b/>
          <w:sz w:val="22"/>
        </w:rPr>
        <w:t>Opal Energy Corp</w:t>
      </w:r>
      <w:r w:rsidRPr="006315C2">
        <w:rPr>
          <w:b/>
          <w:sz w:val="22"/>
        </w:rPr>
        <w:t xml:space="preserve">. (CSE: </w:t>
      </w:r>
      <w:r w:rsidR="00FD654C" w:rsidRPr="006315C2">
        <w:rPr>
          <w:b/>
          <w:sz w:val="22"/>
        </w:rPr>
        <w:t>OPA</w:t>
      </w:r>
      <w:r w:rsidRPr="006315C2">
        <w:rPr>
          <w:b/>
          <w:sz w:val="22"/>
        </w:rPr>
        <w:t>)</w:t>
      </w:r>
      <w:r w:rsidRPr="006315C2">
        <w:rPr>
          <w:sz w:val="22"/>
        </w:rPr>
        <w:t xml:space="preserve"> (the “</w:t>
      </w:r>
      <w:r w:rsidRPr="006315C2">
        <w:rPr>
          <w:b/>
          <w:sz w:val="22"/>
        </w:rPr>
        <w:t>Company</w:t>
      </w:r>
      <w:r w:rsidRPr="006315C2">
        <w:rPr>
          <w:sz w:val="22"/>
        </w:rPr>
        <w:t>” or “</w:t>
      </w:r>
      <w:r w:rsidR="00FD654C" w:rsidRPr="006315C2">
        <w:rPr>
          <w:b/>
          <w:sz w:val="22"/>
        </w:rPr>
        <w:t>Opal</w:t>
      </w:r>
      <w:r w:rsidRPr="006315C2">
        <w:rPr>
          <w:sz w:val="22"/>
        </w:rPr>
        <w:t>”) announce</w:t>
      </w:r>
      <w:r w:rsidR="00190396">
        <w:rPr>
          <w:sz w:val="22"/>
        </w:rPr>
        <w:t>s</w:t>
      </w:r>
      <w:r w:rsidRPr="006315C2">
        <w:rPr>
          <w:sz w:val="22"/>
        </w:rPr>
        <w:t xml:space="preserve"> that it has entered into a letter of intent </w:t>
      </w:r>
      <w:r w:rsidR="000F0120">
        <w:rPr>
          <w:sz w:val="22"/>
        </w:rPr>
        <w:t>(</w:t>
      </w:r>
      <w:r w:rsidR="004D7C0C">
        <w:rPr>
          <w:sz w:val="22"/>
        </w:rPr>
        <w:t xml:space="preserve">the </w:t>
      </w:r>
      <w:r w:rsidR="000F0120">
        <w:rPr>
          <w:sz w:val="22"/>
        </w:rPr>
        <w:t>“</w:t>
      </w:r>
      <w:r w:rsidR="000F0120" w:rsidRPr="004D7C0C">
        <w:rPr>
          <w:b/>
          <w:sz w:val="22"/>
        </w:rPr>
        <w:t>LOI</w:t>
      </w:r>
      <w:r w:rsidR="000F0120">
        <w:rPr>
          <w:sz w:val="22"/>
        </w:rPr>
        <w:t xml:space="preserve">”) </w:t>
      </w:r>
      <w:r w:rsidRPr="006315C2">
        <w:rPr>
          <w:sz w:val="22"/>
        </w:rPr>
        <w:t xml:space="preserve">with </w:t>
      </w:r>
      <w:r w:rsidR="004D7C0C">
        <w:rPr>
          <w:sz w:val="22"/>
        </w:rPr>
        <w:t>Versus LLC</w:t>
      </w:r>
      <w:r w:rsidR="00FD654C" w:rsidRPr="006315C2">
        <w:rPr>
          <w:sz w:val="22"/>
        </w:rPr>
        <w:t xml:space="preserve"> (“</w:t>
      </w:r>
      <w:r w:rsidR="00FD654C" w:rsidRPr="004D7C0C">
        <w:rPr>
          <w:b/>
          <w:sz w:val="22"/>
        </w:rPr>
        <w:t>Versus</w:t>
      </w:r>
      <w:r w:rsidRPr="006315C2">
        <w:rPr>
          <w:sz w:val="22"/>
        </w:rPr>
        <w:t>”)</w:t>
      </w:r>
      <w:r w:rsidR="009F03AB">
        <w:rPr>
          <w:sz w:val="22"/>
        </w:rPr>
        <w:t xml:space="preserve"> </w:t>
      </w:r>
      <w:r w:rsidR="00F31B4F">
        <w:rPr>
          <w:sz w:val="22"/>
        </w:rPr>
        <w:t>to</w:t>
      </w:r>
      <w:r w:rsidRPr="006315C2">
        <w:rPr>
          <w:sz w:val="22"/>
        </w:rPr>
        <w:t xml:space="preserve"> acquire all of the issued and outstanding securities of </w:t>
      </w:r>
      <w:proofErr w:type="gramStart"/>
      <w:r w:rsidR="00FD654C" w:rsidRPr="006315C2">
        <w:rPr>
          <w:sz w:val="22"/>
        </w:rPr>
        <w:t>Versus</w:t>
      </w:r>
      <w:proofErr w:type="gramEnd"/>
      <w:r w:rsidRPr="006315C2">
        <w:rPr>
          <w:sz w:val="22"/>
        </w:rPr>
        <w:t xml:space="preserve"> (the “</w:t>
      </w:r>
      <w:r w:rsidRPr="004D7C0C">
        <w:rPr>
          <w:b/>
          <w:sz w:val="22"/>
        </w:rPr>
        <w:t>Transaction</w:t>
      </w:r>
      <w:r w:rsidRPr="006315C2">
        <w:rPr>
          <w:sz w:val="22"/>
        </w:rPr>
        <w:t>”)</w:t>
      </w:r>
      <w:r w:rsidR="009F03AB">
        <w:rPr>
          <w:sz w:val="22"/>
        </w:rPr>
        <w:t xml:space="preserve">. </w:t>
      </w:r>
    </w:p>
    <w:p w14:paraId="699CEC1C" w14:textId="77777777" w:rsidR="001D77A1" w:rsidRDefault="001D77A1" w:rsidP="006315C2">
      <w:pPr>
        <w:spacing w:after="0"/>
        <w:ind w:left="-5" w:right="38"/>
        <w:rPr>
          <w:sz w:val="22"/>
        </w:rPr>
      </w:pPr>
    </w:p>
    <w:p w14:paraId="0DBCA2B3" w14:textId="6E272CA3" w:rsidR="00221750" w:rsidRDefault="009F03AB" w:rsidP="006315C2">
      <w:pPr>
        <w:spacing w:after="0"/>
        <w:ind w:left="-5" w:right="38"/>
        <w:rPr>
          <w:sz w:val="22"/>
        </w:rPr>
      </w:pPr>
      <w:r>
        <w:rPr>
          <w:sz w:val="22"/>
        </w:rPr>
        <w:t>Versus</w:t>
      </w:r>
      <w:r w:rsidR="00843A06">
        <w:rPr>
          <w:sz w:val="22"/>
        </w:rPr>
        <w:t xml:space="preserve">, </w:t>
      </w:r>
      <w:r>
        <w:rPr>
          <w:sz w:val="22"/>
        </w:rPr>
        <w:t xml:space="preserve">a Nevada corporation headquartered in </w:t>
      </w:r>
      <w:r w:rsidRPr="009F03AB">
        <w:rPr>
          <w:sz w:val="22"/>
        </w:rPr>
        <w:t>Los Angeles</w:t>
      </w:r>
      <w:r w:rsidR="00843A06">
        <w:rPr>
          <w:sz w:val="22"/>
        </w:rPr>
        <w:t xml:space="preserve">, </w:t>
      </w:r>
      <w:r w:rsidR="00F31B4F">
        <w:rPr>
          <w:sz w:val="22"/>
        </w:rPr>
        <w:t xml:space="preserve">has developed </w:t>
      </w:r>
      <w:r w:rsidRPr="009F03AB">
        <w:rPr>
          <w:sz w:val="22"/>
        </w:rPr>
        <w:t xml:space="preserve">state-of-the art video game </w:t>
      </w:r>
      <w:r w:rsidR="00F31B4F">
        <w:rPr>
          <w:sz w:val="22"/>
        </w:rPr>
        <w:t>and e-sports tournament</w:t>
      </w:r>
      <w:r w:rsidRPr="009F03AB">
        <w:rPr>
          <w:sz w:val="22"/>
        </w:rPr>
        <w:t xml:space="preserve"> software</w:t>
      </w:r>
      <w:r w:rsidR="001D77A1">
        <w:rPr>
          <w:sz w:val="22"/>
        </w:rPr>
        <w:t xml:space="preserve"> that allows </w:t>
      </w:r>
      <w:r w:rsidR="00D45CAE">
        <w:rPr>
          <w:sz w:val="22"/>
        </w:rPr>
        <w:t>video game publisher-developers to offer prize-based tournaments of their games.</w:t>
      </w:r>
      <w:r>
        <w:rPr>
          <w:sz w:val="22"/>
        </w:rPr>
        <w:t xml:space="preserve"> </w:t>
      </w:r>
      <w:r w:rsidR="009860A2">
        <w:rPr>
          <w:sz w:val="22"/>
        </w:rPr>
        <w:t xml:space="preserve">Upon completion of the Transaction, </w:t>
      </w:r>
      <w:r w:rsidR="00D45CAE">
        <w:rPr>
          <w:sz w:val="22"/>
        </w:rPr>
        <w:t>Versus CEO Matthew Pierce</w:t>
      </w:r>
      <w:r w:rsidR="00AD202F">
        <w:rPr>
          <w:sz w:val="22"/>
        </w:rPr>
        <w:t xml:space="preserve"> will </w:t>
      </w:r>
      <w:r w:rsidR="00D45CAE">
        <w:rPr>
          <w:sz w:val="22"/>
        </w:rPr>
        <w:t xml:space="preserve">become CEO of the new, merged company, with key </w:t>
      </w:r>
      <w:proofErr w:type="gramStart"/>
      <w:r w:rsidR="00D45CAE">
        <w:rPr>
          <w:sz w:val="22"/>
        </w:rPr>
        <w:t>Versus</w:t>
      </w:r>
      <w:proofErr w:type="gramEnd"/>
      <w:r w:rsidR="00D45CAE">
        <w:rPr>
          <w:sz w:val="22"/>
        </w:rPr>
        <w:t xml:space="preserve"> management elevated to positions </w:t>
      </w:r>
      <w:r w:rsidR="00AD202F">
        <w:rPr>
          <w:sz w:val="22"/>
        </w:rPr>
        <w:t>with</w:t>
      </w:r>
      <w:r w:rsidR="00D45CAE">
        <w:rPr>
          <w:sz w:val="22"/>
        </w:rPr>
        <w:t>in the new entity to further</w:t>
      </w:r>
      <w:r w:rsidR="00AD202F">
        <w:rPr>
          <w:sz w:val="22"/>
        </w:rPr>
        <w:t xml:space="preserve"> the devel</w:t>
      </w:r>
      <w:r w:rsidR="00194EBE">
        <w:rPr>
          <w:sz w:val="22"/>
        </w:rPr>
        <w:t>opment and operation of the busi</w:t>
      </w:r>
      <w:r w:rsidR="00AD202F">
        <w:rPr>
          <w:sz w:val="22"/>
        </w:rPr>
        <w:t>ness</w:t>
      </w:r>
      <w:r w:rsidR="00D45CAE">
        <w:rPr>
          <w:sz w:val="22"/>
        </w:rPr>
        <w:t>.</w:t>
      </w:r>
    </w:p>
    <w:p w14:paraId="405A2EF1" w14:textId="77777777" w:rsidR="00221750" w:rsidRDefault="00221750" w:rsidP="006315C2">
      <w:pPr>
        <w:spacing w:after="0"/>
        <w:ind w:left="-5" w:right="38"/>
        <w:rPr>
          <w:sz w:val="22"/>
        </w:rPr>
      </w:pPr>
    </w:p>
    <w:p w14:paraId="4A53B1C6" w14:textId="427DC51F" w:rsidR="00FF1C65" w:rsidRDefault="00221750" w:rsidP="006315C2">
      <w:pPr>
        <w:spacing w:after="0"/>
        <w:ind w:left="-5" w:right="38"/>
        <w:rPr>
          <w:sz w:val="22"/>
        </w:rPr>
      </w:pPr>
      <w:r>
        <w:rPr>
          <w:sz w:val="22"/>
        </w:rPr>
        <w:t xml:space="preserve">Utilizing proprietary intellectual property, </w:t>
      </w:r>
      <w:proofErr w:type="gramStart"/>
      <w:r>
        <w:rPr>
          <w:sz w:val="22"/>
        </w:rPr>
        <w:t>Versus</w:t>
      </w:r>
      <w:proofErr w:type="gramEnd"/>
      <w:r>
        <w:rPr>
          <w:sz w:val="22"/>
        </w:rPr>
        <w:t xml:space="preserve"> </w:t>
      </w:r>
      <w:r w:rsidR="009860A2">
        <w:rPr>
          <w:sz w:val="22"/>
        </w:rPr>
        <w:t>will</w:t>
      </w:r>
      <w:r w:rsidR="00B1000E">
        <w:rPr>
          <w:sz w:val="22"/>
        </w:rPr>
        <w:t xml:space="preserve"> </w:t>
      </w:r>
      <w:r>
        <w:rPr>
          <w:sz w:val="22"/>
        </w:rPr>
        <w:t xml:space="preserve">seek to take advantage of the multi-billion dollar video game and e-sports markets. Versus has filed </w:t>
      </w:r>
      <w:r w:rsidR="00183518">
        <w:rPr>
          <w:sz w:val="22"/>
        </w:rPr>
        <w:t>patents</w:t>
      </w:r>
      <w:r>
        <w:rPr>
          <w:sz w:val="22"/>
        </w:rPr>
        <w:t xml:space="preserve"> around pay-to-play tournaments that allow players to play video games for real money, sponsored consumer packaged goods, and downloadable content. </w:t>
      </w:r>
    </w:p>
    <w:p w14:paraId="2BE60759" w14:textId="77777777" w:rsidR="009F03AB" w:rsidRDefault="009F03AB" w:rsidP="005D24EE">
      <w:pPr>
        <w:spacing w:after="0"/>
        <w:ind w:left="0" w:right="38" w:firstLine="0"/>
        <w:rPr>
          <w:sz w:val="22"/>
        </w:rPr>
      </w:pPr>
      <w:bookmarkStart w:id="0" w:name="_GoBack"/>
      <w:bookmarkEnd w:id="0"/>
    </w:p>
    <w:p w14:paraId="32B4B3AE" w14:textId="77777777" w:rsidR="00817515" w:rsidRDefault="009F03AB" w:rsidP="006315C2">
      <w:pPr>
        <w:spacing w:after="0"/>
        <w:ind w:left="-5" w:right="38"/>
        <w:rPr>
          <w:sz w:val="22"/>
        </w:rPr>
      </w:pPr>
      <w:r>
        <w:rPr>
          <w:sz w:val="22"/>
          <w:u w:color="000000"/>
        </w:rPr>
        <w:t>Under t</w:t>
      </w:r>
      <w:r w:rsidR="00E52FAC">
        <w:rPr>
          <w:sz w:val="22"/>
          <w:u w:color="000000"/>
        </w:rPr>
        <w:t>he</w:t>
      </w:r>
      <w:r w:rsidR="00CF5E49" w:rsidRPr="006315C2">
        <w:rPr>
          <w:sz w:val="22"/>
        </w:rPr>
        <w:t xml:space="preserve"> LOI</w:t>
      </w:r>
      <w:r>
        <w:rPr>
          <w:sz w:val="22"/>
        </w:rPr>
        <w:t>, the parties have agreed</w:t>
      </w:r>
      <w:r w:rsidR="00843A06">
        <w:rPr>
          <w:sz w:val="22"/>
        </w:rPr>
        <w:t xml:space="preserve"> </w:t>
      </w:r>
      <w:r w:rsidR="005D24EE">
        <w:rPr>
          <w:sz w:val="22"/>
        </w:rPr>
        <w:t xml:space="preserve">to </w:t>
      </w:r>
      <w:r>
        <w:rPr>
          <w:sz w:val="22"/>
        </w:rPr>
        <w:t xml:space="preserve">negotiate in good faith and enter into </w:t>
      </w:r>
      <w:r w:rsidR="00CF5E49" w:rsidRPr="006315C2">
        <w:rPr>
          <w:sz w:val="22"/>
        </w:rPr>
        <w:t>a definitive agreement (the “</w:t>
      </w:r>
      <w:r w:rsidR="00CF5E49" w:rsidRPr="006C7511">
        <w:rPr>
          <w:b/>
          <w:sz w:val="22"/>
        </w:rPr>
        <w:t>Definitive Agreement</w:t>
      </w:r>
      <w:r w:rsidR="00CF5E49" w:rsidRPr="006315C2">
        <w:rPr>
          <w:sz w:val="22"/>
        </w:rPr>
        <w:t xml:space="preserve">”) </w:t>
      </w:r>
      <w:r>
        <w:rPr>
          <w:sz w:val="22"/>
        </w:rPr>
        <w:t xml:space="preserve">which </w:t>
      </w:r>
      <w:r w:rsidR="00843A06">
        <w:rPr>
          <w:sz w:val="22"/>
        </w:rPr>
        <w:t xml:space="preserve">upon execution </w:t>
      </w:r>
      <w:r>
        <w:rPr>
          <w:sz w:val="22"/>
        </w:rPr>
        <w:t xml:space="preserve">will supersede the LOI. </w:t>
      </w:r>
    </w:p>
    <w:p w14:paraId="595DE596" w14:textId="77777777" w:rsidR="00D82B22" w:rsidRPr="00843A06" w:rsidRDefault="00D82B22" w:rsidP="008C3A32">
      <w:pPr>
        <w:spacing w:after="0"/>
        <w:ind w:left="0" w:right="40" w:firstLine="0"/>
        <w:rPr>
          <w:b/>
          <w:sz w:val="22"/>
        </w:rPr>
      </w:pPr>
    </w:p>
    <w:p w14:paraId="34C07865" w14:textId="1A4DA2B4" w:rsidR="00D15C0F" w:rsidRPr="006315C2" w:rsidRDefault="00817515" w:rsidP="00DA3733">
      <w:pPr>
        <w:spacing w:after="0"/>
        <w:ind w:left="-6" w:right="40" w:hanging="11"/>
        <w:rPr>
          <w:sz w:val="22"/>
        </w:rPr>
      </w:pPr>
      <w:r>
        <w:rPr>
          <w:sz w:val="22"/>
        </w:rPr>
        <w:t>In consideration</w:t>
      </w:r>
      <w:r w:rsidR="002B1E0A">
        <w:rPr>
          <w:sz w:val="22"/>
        </w:rPr>
        <w:t xml:space="preserve"> </w:t>
      </w:r>
      <w:r w:rsidR="00CD11B1">
        <w:rPr>
          <w:sz w:val="22"/>
        </w:rPr>
        <w:t xml:space="preserve">for the </w:t>
      </w:r>
      <w:proofErr w:type="gramStart"/>
      <w:r w:rsidR="00CD11B1">
        <w:rPr>
          <w:sz w:val="22"/>
        </w:rPr>
        <w:t>Versus</w:t>
      </w:r>
      <w:proofErr w:type="gramEnd"/>
      <w:r w:rsidR="00CD11B1">
        <w:rPr>
          <w:sz w:val="22"/>
        </w:rPr>
        <w:t xml:space="preserve"> shares, </w:t>
      </w:r>
      <w:r w:rsidR="00134EFF">
        <w:rPr>
          <w:sz w:val="22"/>
        </w:rPr>
        <w:t xml:space="preserve">on closing </w:t>
      </w:r>
      <w:r w:rsidR="002B1E0A">
        <w:rPr>
          <w:sz w:val="22"/>
        </w:rPr>
        <w:t>Opal</w:t>
      </w:r>
      <w:r>
        <w:rPr>
          <w:sz w:val="22"/>
        </w:rPr>
        <w:t xml:space="preserve"> will issue</w:t>
      </w:r>
      <w:r w:rsidR="00895699" w:rsidRPr="006315C2">
        <w:rPr>
          <w:sz w:val="22"/>
        </w:rPr>
        <w:t xml:space="preserve"> </w:t>
      </w:r>
      <w:r w:rsidR="00134EFF">
        <w:rPr>
          <w:sz w:val="22"/>
        </w:rPr>
        <w:t xml:space="preserve">to the Versus shareholders </w:t>
      </w:r>
      <w:r w:rsidR="00183518">
        <w:rPr>
          <w:sz w:val="22"/>
          <w:u w:color="000000"/>
        </w:rPr>
        <w:t xml:space="preserve">cash, stock, and warrants with a value in excess of </w:t>
      </w:r>
      <w:r w:rsidR="00DA3733">
        <w:rPr>
          <w:sz w:val="22"/>
          <w:u w:color="000000"/>
        </w:rPr>
        <w:t xml:space="preserve">$5.6 million dollars. </w:t>
      </w:r>
      <w:r w:rsidR="009860A2">
        <w:rPr>
          <w:sz w:val="22"/>
          <w:u w:color="000000"/>
        </w:rPr>
        <w:t xml:space="preserve">Prior to the closing of the Transaction, Opal may advance funds to </w:t>
      </w:r>
      <w:proofErr w:type="gramStart"/>
      <w:r w:rsidR="009860A2">
        <w:rPr>
          <w:sz w:val="22"/>
          <w:u w:color="000000"/>
        </w:rPr>
        <w:t>Versus</w:t>
      </w:r>
      <w:proofErr w:type="gramEnd"/>
      <w:r w:rsidR="009860A2">
        <w:rPr>
          <w:sz w:val="22"/>
          <w:u w:color="000000"/>
        </w:rPr>
        <w:t xml:space="preserve"> for further development of Versus’ business.</w:t>
      </w:r>
    </w:p>
    <w:p w14:paraId="56D78C23" w14:textId="77777777" w:rsidR="00D15C0F" w:rsidRPr="006315C2" w:rsidRDefault="00D15C0F" w:rsidP="00456DE0">
      <w:pPr>
        <w:spacing w:after="0"/>
        <w:ind w:left="0" w:right="45" w:firstLine="0"/>
        <w:rPr>
          <w:sz w:val="22"/>
        </w:rPr>
      </w:pPr>
    </w:p>
    <w:p w14:paraId="6C2975E4" w14:textId="77777777" w:rsidR="000B5510" w:rsidRPr="006315C2" w:rsidRDefault="000B5510" w:rsidP="000B5510">
      <w:pPr>
        <w:spacing w:after="0"/>
        <w:ind w:left="-6" w:right="40" w:hanging="11"/>
        <w:rPr>
          <w:sz w:val="22"/>
        </w:rPr>
      </w:pPr>
      <w:r w:rsidRPr="006315C2">
        <w:rPr>
          <w:sz w:val="22"/>
        </w:rPr>
        <w:t>The Trans</w:t>
      </w:r>
      <w:r>
        <w:rPr>
          <w:sz w:val="22"/>
        </w:rPr>
        <w:t>action is subject to Opal</w:t>
      </w:r>
      <w:r w:rsidRPr="006315C2">
        <w:rPr>
          <w:sz w:val="22"/>
        </w:rPr>
        <w:t xml:space="preserve"> completing an equity financing (the “</w:t>
      </w:r>
      <w:r w:rsidRPr="002B1E0A">
        <w:rPr>
          <w:b/>
          <w:sz w:val="22"/>
        </w:rPr>
        <w:t>Concurrent Financing</w:t>
      </w:r>
      <w:r w:rsidRPr="006315C2">
        <w:rPr>
          <w:sz w:val="22"/>
        </w:rPr>
        <w:t xml:space="preserve">”) </w:t>
      </w:r>
      <w:r>
        <w:rPr>
          <w:sz w:val="22"/>
        </w:rPr>
        <w:t>for gross proceeds of not less than CDN$3,000,000.</w:t>
      </w:r>
      <w:r w:rsidRPr="006315C2">
        <w:rPr>
          <w:sz w:val="22"/>
        </w:rPr>
        <w:t xml:space="preserve"> </w:t>
      </w:r>
      <w:r>
        <w:rPr>
          <w:sz w:val="22"/>
        </w:rPr>
        <w:t>Opal</w:t>
      </w:r>
      <w:r w:rsidRPr="006315C2">
        <w:rPr>
          <w:sz w:val="22"/>
        </w:rPr>
        <w:t xml:space="preserve"> may pay finder</w:t>
      </w:r>
      <w:r>
        <w:rPr>
          <w:sz w:val="22"/>
        </w:rPr>
        <w:t>s’</w:t>
      </w:r>
      <w:r w:rsidRPr="006315C2">
        <w:rPr>
          <w:sz w:val="22"/>
        </w:rPr>
        <w:t xml:space="preserve"> fees in connection with the Concurrent Financing. </w:t>
      </w:r>
      <w:r w:rsidRPr="00843A06">
        <w:rPr>
          <w:sz w:val="22"/>
        </w:rPr>
        <w:t xml:space="preserve">The net proceeds from the Concurrent Financing will be used to fund the US$1,500,000 payment due to the </w:t>
      </w:r>
      <w:proofErr w:type="gramStart"/>
      <w:r w:rsidRPr="00843A06">
        <w:rPr>
          <w:sz w:val="22"/>
        </w:rPr>
        <w:t>Versus</w:t>
      </w:r>
      <w:proofErr w:type="gramEnd"/>
      <w:r w:rsidRPr="00843A06">
        <w:rPr>
          <w:sz w:val="22"/>
        </w:rPr>
        <w:t xml:space="preserve"> shareholders, with the balance to be used </w:t>
      </w:r>
      <w:r>
        <w:rPr>
          <w:sz w:val="22"/>
        </w:rPr>
        <w:t xml:space="preserve">for </w:t>
      </w:r>
      <w:r w:rsidRPr="00843A06">
        <w:rPr>
          <w:sz w:val="22"/>
        </w:rPr>
        <w:t>development of the business and general working capital.</w:t>
      </w:r>
    </w:p>
    <w:p w14:paraId="5E5B35BD" w14:textId="77777777" w:rsidR="000B5510" w:rsidRDefault="000B5510" w:rsidP="00633A2E">
      <w:pPr>
        <w:spacing w:after="0"/>
        <w:ind w:left="-6" w:right="38" w:hanging="11"/>
        <w:rPr>
          <w:sz w:val="22"/>
        </w:rPr>
      </w:pPr>
    </w:p>
    <w:p w14:paraId="686A3FE6" w14:textId="56671908" w:rsidR="00E53712" w:rsidRDefault="00EA0E81" w:rsidP="00633A2E">
      <w:pPr>
        <w:spacing w:after="0"/>
        <w:ind w:left="-6" w:right="38" w:hanging="11"/>
        <w:rPr>
          <w:sz w:val="22"/>
        </w:rPr>
      </w:pPr>
      <w:r w:rsidRPr="006315C2">
        <w:rPr>
          <w:sz w:val="22"/>
        </w:rPr>
        <w:t xml:space="preserve">Completion of the Transaction is subject to a number of </w:t>
      </w:r>
      <w:r w:rsidR="00843A06">
        <w:rPr>
          <w:sz w:val="22"/>
        </w:rPr>
        <w:t xml:space="preserve">other </w:t>
      </w:r>
      <w:r w:rsidRPr="006315C2">
        <w:rPr>
          <w:sz w:val="22"/>
        </w:rPr>
        <w:t>conditions, including but not limite</w:t>
      </w:r>
      <w:r w:rsidR="002B1E0A">
        <w:rPr>
          <w:sz w:val="22"/>
        </w:rPr>
        <w:t xml:space="preserve">d to acceptance by the </w:t>
      </w:r>
      <w:r w:rsidR="00D82B22">
        <w:rPr>
          <w:sz w:val="22"/>
        </w:rPr>
        <w:t>Canadian Securities Exchange (the “</w:t>
      </w:r>
      <w:r w:rsidR="00D82B22" w:rsidRPr="00083195">
        <w:rPr>
          <w:b/>
          <w:sz w:val="22"/>
        </w:rPr>
        <w:t>CSE</w:t>
      </w:r>
      <w:r w:rsidR="00D82B22">
        <w:rPr>
          <w:sz w:val="22"/>
        </w:rPr>
        <w:t>”)</w:t>
      </w:r>
      <w:r w:rsidR="00843A06">
        <w:rPr>
          <w:sz w:val="22"/>
        </w:rPr>
        <w:t>, completion of mutual due diligence</w:t>
      </w:r>
      <w:r w:rsidR="00D82B22">
        <w:rPr>
          <w:sz w:val="22"/>
        </w:rPr>
        <w:t xml:space="preserve"> and </w:t>
      </w:r>
      <w:r w:rsidR="00843A06">
        <w:rPr>
          <w:sz w:val="22"/>
        </w:rPr>
        <w:t xml:space="preserve">approval of the </w:t>
      </w:r>
      <w:r w:rsidR="00366EF6">
        <w:rPr>
          <w:sz w:val="22"/>
        </w:rPr>
        <w:t xml:space="preserve">Opal and </w:t>
      </w:r>
      <w:proofErr w:type="gramStart"/>
      <w:r w:rsidR="00843A06">
        <w:rPr>
          <w:sz w:val="22"/>
        </w:rPr>
        <w:t>Versus</w:t>
      </w:r>
      <w:proofErr w:type="gramEnd"/>
      <w:r w:rsidR="00843A06">
        <w:rPr>
          <w:sz w:val="22"/>
        </w:rPr>
        <w:t xml:space="preserve"> shareholders. </w:t>
      </w:r>
      <w:r w:rsidRPr="006315C2">
        <w:rPr>
          <w:sz w:val="22"/>
        </w:rPr>
        <w:t xml:space="preserve">There can be no assurance that the Transaction will be </w:t>
      </w:r>
      <w:r w:rsidR="002B1E0A">
        <w:rPr>
          <w:sz w:val="22"/>
        </w:rPr>
        <w:t>completed as proposed or at all</w:t>
      </w:r>
      <w:r w:rsidRPr="006315C2">
        <w:rPr>
          <w:sz w:val="22"/>
        </w:rPr>
        <w:t xml:space="preserve">. </w:t>
      </w:r>
    </w:p>
    <w:p w14:paraId="4F224B8C" w14:textId="77777777" w:rsidR="00456DE0" w:rsidRDefault="00456DE0" w:rsidP="006315C2">
      <w:pPr>
        <w:spacing w:after="0"/>
        <w:ind w:left="-6" w:right="40" w:hanging="11"/>
        <w:rPr>
          <w:sz w:val="22"/>
        </w:rPr>
      </w:pPr>
    </w:p>
    <w:p w14:paraId="2F678A2A" w14:textId="77777777" w:rsidR="009860A2" w:rsidRDefault="009860A2" w:rsidP="006315C2">
      <w:pPr>
        <w:spacing w:after="0"/>
        <w:ind w:left="-6" w:right="40" w:hanging="11"/>
        <w:rPr>
          <w:sz w:val="22"/>
        </w:rPr>
      </w:pPr>
    </w:p>
    <w:p w14:paraId="6A70D2C6" w14:textId="77777777" w:rsidR="009A4B82" w:rsidRDefault="009A4B82" w:rsidP="006315C2">
      <w:pPr>
        <w:spacing w:after="0"/>
        <w:ind w:left="-6" w:right="40" w:hanging="11"/>
        <w:rPr>
          <w:sz w:val="22"/>
        </w:rPr>
      </w:pPr>
    </w:p>
    <w:p w14:paraId="0552D458" w14:textId="77777777" w:rsidR="009A4B82" w:rsidRPr="006315C2" w:rsidRDefault="009A4B82" w:rsidP="006315C2">
      <w:pPr>
        <w:spacing w:after="0"/>
        <w:ind w:left="-6" w:right="40" w:hanging="11"/>
        <w:rPr>
          <w:sz w:val="22"/>
        </w:rPr>
      </w:pPr>
    </w:p>
    <w:p w14:paraId="71B91066" w14:textId="77777777" w:rsidR="006C63C5" w:rsidRPr="006315C2" w:rsidRDefault="00EA0E81" w:rsidP="006315C2">
      <w:pPr>
        <w:pStyle w:val="Heading2"/>
        <w:spacing w:after="0"/>
        <w:ind w:left="-6" w:hanging="11"/>
        <w:rPr>
          <w:sz w:val="22"/>
        </w:rPr>
      </w:pPr>
      <w:r w:rsidRPr="006315C2">
        <w:rPr>
          <w:sz w:val="22"/>
        </w:rPr>
        <w:lastRenderedPageBreak/>
        <w:t xml:space="preserve">Further Information </w:t>
      </w:r>
    </w:p>
    <w:p w14:paraId="63B71163" w14:textId="77777777" w:rsidR="006315C2" w:rsidRDefault="006315C2" w:rsidP="006315C2">
      <w:pPr>
        <w:spacing w:after="0"/>
        <w:ind w:left="-6" w:right="38" w:hanging="11"/>
        <w:rPr>
          <w:sz w:val="22"/>
        </w:rPr>
      </w:pPr>
    </w:p>
    <w:p w14:paraId="0122F862" w14:textId="571732F0" w:rsidR="006C63C5" w:rsidRPr="006315C2" w:rsidRDefault="00EA0E81" w:rsidP="006315C2">
      <w:pPr>
        <w:spacing w:after="0"/>
        <w:ind w:left="-6" w:right="38" w:hanging="11"/>
        <w:rPr>
          <w:sz w:val="22"/>
        </w:rPr>
      </w:pPr>
      <w:r w:rsidRPr="006315C2">
        <w:rPr>
          <w:sz w:val="22"/>
        </w:rPr>
        <w:t xml:space="preserve">Further details about the proposed transaction and the combined entity will be provided in a comprehensive press release </w:t>
      </w:r>
      <w:r w:rsidR="009860A2">
        <w:rPr>
          <w:sz w:val="22"/>
        </w:rPr>
        <w:t>if</w:t>
      </w:r>
      <w:r w:rsidR="009860A2" w:rsidRPr="006315C2">
        <w:rPr>
          <w:sz w:val="22"/>
        </w:rPr>
        <w:t xml:space="preserve"> </w:t>
      </w:r>
      <w:r w:rsidRPr="006315C2">
        <w:rPr>
          <w:sz w:val="22"/>
        </w:rPr>
        <w:t>the parties enter into a D</w:t>
      </w:r>
      <w:r w:rsidR="002B1E0A">
        <w:rPr>
          <w:sz w:val="22"/>
        </w:rPr>
        <w:t>efinitive Agreement</w:t>
      </w:r>
      <w:r w:rsidR="00194EBE">
        <w:rPr>
          <w:sz w:val="22"/>
        </w:rPr>
        <w:t xml:space="preserve">. </w:t>
      </w:r>
      <w:r w:rsidR="002B1E0A">
        <w:rPr>
          <w:sz w:val="22"/>
        </w:rPr>
        <w:t xml:space="preserve"> </w:t>
      </w:r>
      <w:r w:rsidR="00AD543A">
        <w:rPr>
          <w:sz w:val="22"/>
        </w:rPr>
        <w:t xml:space="preserve">If completed, the Transaction will constitute a fundamental change pursuant to CSE policies. </w:t>
      </w:r>
    </w:p>
    <w:p w14:paraId="359F6CEB" w14:textId="77777777" w:rsidR="006315C2" w:rsidRDefault="006315C2" w:rsidP="006315C2">
      <w:pPr>
        <w:pStyle w:val="Heading2"/>
        <w:spacing w:after="0"/>
        <w:ind w:left="-6" w:hanging="11"/>
        <w:rPr>
          <w:sz w:val="22"/>
        </w:rPr>
      </w:pPr>
    </w:p>
    <w:p w14:paraId="40223862" w14:textId="77777777" w:rsidR="006C63C5" w:rsidRPr="006315C2" w:rsidRDefault="00EA0E81" w:rsidP="006315C2">
      <w:pPr>
        <w:pStyle w:val="Heading2"/>
        <w:spacing w:after="0"/>
        <w:ind w:left="-6" w:hanging="11"/>
        <w:rPr>
          <w:sz w:val="22"/>
        </w:rPr>
      </w:pPr>
      <w:r w:rsidRPr="006315C2">
        <w:rPr>
          <w:sz w:val="22"/>
        </w:rPr>
        <w:t xml:space="preserve">Forward-Looking Information </w:t>
      </w:r>
    </w:p>
    <w:p w14:paraId="7BD9D1B4" w14:textId="77777777" w:rsidR="006315C2" w:rsidRDefault="006315C2" w:rsidP="006315C2">
      <w:pPr>
        <w:spacing w:after="0"/>
        <w:ind w:left="-6" w:right="38" w:hanging="11"/>
        <w:rPr>
          <w:sz w:val="22"/>
        </w:rPr>
      </w:pPr>
    </w:p>
    <w:p w14:paraId="6E4ED8E1" w14:textId="77777777" w:rsidR="006C63C5" w:rsidRPr="006315C2" w:rsidRDefault="00EA0E81" w:rsidP="006315C2">
      <w:pPr>
        <w:spacing w:after="0"/>
        <w:ind w:left="-6" w:right="38" w:hanging="11"/>
        <w:rPr>
          <w:sz w:val="22"/>
        </w:rPr>
      </w:pPr>
      <w:r w:rsidRPr="006315C2">
        <w:rPr>
          <w:sz w:val="22"/>
        </w:rPr>
        <w:t xml:space="preserve">This press release contains forward-looking information based on current expectations. Statements about the closing of the Transaction, expected terms of the Transaction, the number of securities of </w:t>
      </w:r>
      <w:r w:rsidR="00143D1E" w:rsidRPr="006315C2">
        <w:rPr>
          <w:sz w:val="22"/>
        </w:rPr>
        <w:t xml:space="preserve">Opal </w:t>
      </w:r>
      <w:r w:rsidRPr="006315C2">
        <w:rPr>
          <w:sz w:val="22"/>
        </w:rPr>
        <w:t xml:space="preserve">that may be issued in connection with </w:t>
      </w:r>
      <w:r w:rsidR="00143D1E" w:rsidRPr="006315C2">
        <w:rPr>
          <w:sz w:val="22"/>
        </w:rPr>
        <w:t xml:space="preserve">the Transaction, the ownership </w:t>
      </w:r>
      <w:r w:rsidRPr="006315C2">
        <w:rPr>
          <w:sz w:val="22"/>
        </w:rPr>
        <w:t xml:space="preserve">of </w:t>
      </w:r>
      <w:r w:rsidR="00143D1E" w:rsidRPr="006315C2">
        <w:rPr>
          <w:sz w:val="22"/>
        </w:rPr>
        <w:t>Opal</w:t>
      </w:r>
      <w:r w:rsidR="002B1E0A">
        <w:rPr>
          <w:sz w:val="22"/>
        </w:rPr>
        <w:t>,</w:t>
      </w:r>
      <w:r w:rsidR="00143D1E" w:rsidRPr="006315C2">
        <w:rPr>
          <w:sz w:val="22"/>
        </w:rPr>
        <w:t xml:space="preserve"> </w:t>
      </w:r>
      <w:r w:rsidRPr="006315C2">
        <w:rPr>
          <w:sz w:val="22"/>
        </w:rPr>
        <w:t xml:space="preserve">the requirement to </w:t>
      </w:r>
      <w:r w:rsidR="00143D1E" w:rsidRPr="006315C2">
        <w:rPr>
          <w:sz w:val="22"/>
        </w:rPr>
        <w:t>obtain</w:t>
      </w:r>
      <w:r w:rsidRPr="006315C2">
        <w:rPr>
          <w:sz w:val="22"/>
        </w:rPr>
        <w:t xml:space="preserve"> shareholder approval and the parties’ ability to satisfy closing conditions and receive necessary approvals are all forward-looking information.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Transaction will occur or that, if the Transaction does occur, it will be completed on the terms described above. The terms described above are not binding unless and until a Definitive Agreement is signed. </w:t>
      </w:r>
      <w:r w:rsidR="00CF5E49">
        <w:rPr>
          <w:sz w:val="22"/>
        </w:rPr>
        <w:t>Opal</w:t>
      </w:r>
      <w:r w:rsidRPr="006315C2">
        <w:rPr>
          <w:sz w:val="22"/>
        </w:rPr>
        <w:t xml:space="preserve"> assumes no responsibility to update or revise forward-looking information to reflect new events or circumstances unless required by law. </w:t>
      </w:r>
    </w:p>
    <w:p w14:paraId="61E31E8E" w14:textId="77777777" w:rsidR="006315C2" w:rsidRDefault="006315C2" w:rsidP="002B1E0A">
      <w:pPr>
        <w:spacing w:after="0" w:line="259" w:lineRule="auto"/>
        <w:ind w:left="0" w:right="0" w:firstLine="0"/>
        <w:jc w:val="left"/>
        <w:rPr>
          <w:b/>
          <w:sz w:val="22"/>
        </w:rPr>
      </w:pPr>
    </w:p>
    <w:p w14:paraId="03418C20" w14:textId="77777777" w:rsidR="00456DE0" w:rsidRPr="00456DE0" w:rsidRDefault="00456DE0" w:rsidP="00456DE0">
      <w:pPr>
        <w:spacing w:after="0"/>
        <w:ind w:left="-6" w:right="38" w:hanging="11"/>
        <w:rPr>
          <w:sz w:val="22"/>
        </w:rPr>
      </w:pPr>
    </w:p>
    <w:p w14:paraId="04A96824" w14:textId="77777777" w:rsidR="006C63C5" w:rsidRPr="006315C2" w:rsidRDefault="00EA0E81" w:rsidP="002B1E0A">
      <w:pPr>
        <w:spacing w:after="227" w:line="259" w:lineRule="auto"/>
        <w:ind w:left="0" w:right="0" w:firstLine="0"/>
        <w:jc w:val="left"/>
        <w:rPr>
          <w:sz w:val="22"/>
        </w:rPr>
      </w:pPr>
      <w:r w:rsidRPr="006315C2">
        <w:rPr>
          <w:b/>
          <w:sz w:val="22"/>
        </w:rPr>
        <w:t xml:space="preserve">For further information, please contact: </w:t>
      </w:r>
    </w:p>
    <w:p w14:paraId="720CEF9D" w14:textId="77777777" w:rsidR="00035DD7" w:rsidRPr="006315C2" w:rsidRDefault="00035DD7" w:rsidP="00035DD7">
      <w:pPr>
        <w:spacing w:after="14" w:line="259" w:lineRule="auto"/>
        <w:ind w:left="0" w:right="0" w:firstLine="0"/>
        <w:jc w:val="left"/>
        <w:rPr>
          <w:sz w:val="22"/>
        </w:rPr>
      </w:pPr>
      <w:r w:rsidRPr="006315C2">
        <w:rPr>
          <w:sz w:val="22"/>
        </w:rPr>
        <w:t>Opal Energy Corp.</w:t>
      </w:r>
    </w:p>
    <w:p w14:paraId="75515641" w14:textId="77777777" w:rsidR="00035DD7" w:rsidRPr="006315C2" w:rsidRDefault="00035DD7" w:rsidP="00035DD7">
      <w:pPr>
        <w:spacing w:after="14" w:line="259" w:lineRule="auto"/>
        <w:ind w:left="0" w:right="0" w:firstLine="0"/>
        <w:jc w:val="left"/>
        <w:rPr>
          <w:sz w:val="22"/>
        </w:rPr>
      </w:pPr>
    </w:p>
    <w:p w14:paraId="4C66F2D3" w14:textId="77777777" w:rsidR="00035DD7" w:rsidRPr="006315C2" w:rsidRDefault="00035DD7" w:rsidP="00035DD7">
      <w:pPr>
        <w:spacing w:after="14" w:line="259" w:lineRule="auto"/>
        <w:ind w:left="0" w:right="0" w:firstLine="0"/>
        <w:jc w:val="left"/>
        <w:rPr>
          <w:sz w:val="22"/>
        </w:rPr>
      </w:pPr>
      <w:r w:rsidRPr="006315C2">
        <w:rPr>
          <w:sz w:val="22"/>
        </w:rPr>
        <w:t>Brandon Boddy, Director</w:t>
      </w:r>
    </w:p>
    <w:p w14:paraId="05E32840" w14:textId="548865AF" w:rsidR="00474E35" w:rsidRDefault="00035DD7" w:rsidP="00035DD7">
      <w:pPr>
        <w:spacing w:after="14" w:line="259" w:lineRule="auto"/>
        <w:ind w:left="0" w:right="0" w:firstLine="0"/>
        <w:jc w:val="left"/>
        <w:rPr>
          <w:sz w:val="22"/>
        </w:rPr>
      </w:pPr>
      <w:r w:rsidRPr="006315C2">
        <w:rPr>
          <w:sz w:val="22"/>
        </w:rPr>
        <w:t xml:space="preserve">T: </w:t>
      </w:r>
      <w:r w:rsidRPr="006315C2">
        <w:rPr>
          <w:sz w:val="22"/>
        </w:rPr>
        <w:tab/>
        <w:t xml:space="preserve">(604) </w:t>
      </w:r>
      <w:r w:rsidR="006E2C4D">
        <w:rPr>
          <w:sz w:val="22"/>
        </w:rPr>
        <w:t>639-4486</w:t>
      </w:r>
    </w:p>
    <w:p w14:paraId="210711D1" w14:textId="46D36A5E" w:rsidR="00744241" w:rsidRDefault="00744241" w:rsidP="00744241">
      <w:pPr>
        <w:spacing w:before="480" w:line="200" w:lineRule="exact"/>
        <w:ind w:left="0" w:firstLine="0"/>
        <w:jc w:val="left"/>
      </w:pPr>
    </w:p>
    <w:sectPr w:rsidR="00744241">
      <w:headerReference w:type="default" r:id="rId10"/>
      <w:footerReference w:type="even" r:id="rId11"/>
      <w:footerReference w:type="default" r:id="rId12"/>
      <w:footerReference w:type="first" r:id="rId13"/>
      <w:pgSz w:w="12240" w:h="15840"/>
      <w:pgMar w:top="720" w:right="1393" w:bottom="508" w:left="1440" w:header="720"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40342" w14:textId="77777777" w:rsidR="00032A14" w:rsidRDefault="00032A14">
      <w:pPr>
        <w:spacing w:after="0" w:line="240" w:lineRule="auto"/>
      </w:pPr>
      <w:r>
        <w:separator/>
      </w:r>
    </w:p>
  </w:endnote>
  <w:endnote w:type="continuationSeparator" w:id="0">
    <w:p w14:paraId="5BC17955" w14:textId="77777777" w:rsidR="00032A14" w:rsidRDefault="0003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6E903" w14:textId="77777777" w:rsidR="006C63C5" w:rsidRDefault="006C63C5">
    <w:pPr>
      <w:spacing w:after="0" w:line="259" w:lineRule="auto"/>
      <w:ind w:left="0" w:right="43"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25511"/>
      <w:docPartObj>
        <w:docPartGallery w:val="Page Numbers (Bottom of Page)"/>
        <w:docPartUnique/>
      </w:docPartObj>
    </w:sdtPr>
    <w:sdtEndPr/>
    <w:sdtContent>
      <w:sdt>
        <w:sdtPr>
          <w:id w:val="1728636285"/>
          <w:docPartObj>
            <w:docPartGallery w:val="Page Numbers (Top of Page)"/>
            <w:docPartUnique/>
          </w:docPartObj>
        </w:sdtPr>
        <w:sdtEndPr/>
        <w:sdtContent>
          <w:p w14:paraId="4618E1E5" w14:textId="77777777" w:rsidR="006315C2" w:rsidRDefault="00B62759">
            <w:pPr>
              <w:pStyle w:val="Footer"/>
              <w:jc w:val="center"/>
            </w:pPr>
            <w:r>
              <w:t xml:space="preserve"> </w:t>
            </w:r>
            <w:r w:rsidR="006315C2" w:rsidRPr="006315C2">
              <w:rPr>
                <w:sz w:val="20"/>
                <w:szCs w:val="20"/>
              </w:rPr>
              <w:t xml:space="preserve">Page </w:t>
            </w:r>
            <w:r w:rsidR="006315C2" w:rsidRPr="006315C2">
              <w:rPr>
                <w:b/>
                <w:bCs/>
                <w:sz w:val="20"/>
                <w:szCs w:val="20"/>
              </w:rPr>
              <w:fldChar w:fldCharType="begin"/>
            </w:r>
            <w:r w:rsidR="006315C2" w:rsidRPr="006315C2">
              <w:rPr>
                <w:b/>
                <w:bCs/>
                <w:sz w:val="20"/>
                <w:szCs w:val="20"/>
              </w:rPr>
              <w:instrText xml:space="preserve"> PAGE </w:instrText>
            </w:r>
            <w:r w:rsidR="006315C2" w:rsidRPr="006315C2">
              <w:rPr>
                <w:b/>
                <w:bCs/>
                <w:sz w:val="20"/>
                <w:szCs w:val="20"/>
              </w:rPr>
              <w:fldChar w:fldCharType="separate"/>
            </w:r>
            <w:r w:rsidR="00B1000E">
              <w:rPr>
                <w:b/>
                <w:bCs/>
                <w:noProof/>
                <w:sz w:val="20"/>
                <w:szCs w:val="20"/>
              </w:rPr>
              <w:t>1</w:t>
            </w:r>
            <w:r w:rsidR="006315C2" w:rsidRPr="006315C2">
              <w:rPr>
                <w:b/>
                <w:bCs/>
                <w:sz w:val="20"/>
                <w:szCs w:val="20"/>
              </w:rPr>
              <w:fldChar w:fldCharType="end"/>
            </w:r>
            <w:r w:rsidR="006315C2" w:rsidRPr="006315C2">
              <w:rPr>
                <w:sz w:val="20"/>
                <w:szCs w:val="20"/>
              </w:rPr>
              <w:t xml:space="preserve"> of </w:t>
            </w:r>
            <w:r w:rsidR="006315C2" w:rsidRPr="006315C2">
              <w:rPr>
                <w:b/>
                <w:bCs/>
                <w:sz w:val="20"/>
                <w:szCs w:val="20"/>
              </w:rPr>
              <w:fldChar w:fldCharType="begin"/>
            </w:r>
            <w:r w:rsidR="006315C2" w:rsidRPr="006315C2">
              <w:rPr>
                <w:b/>
                <w:bCs/>
                <w:sz w:val="20"/>
                <w:szCs w:val="20"/>
              </w:rPr>
              <w:instrText xml:space="preserve"> NUMPAGES  </w:instrText>
            </w:r>
            <w:r w:rsidR="006315C2" w:rsidRPr="006315C2">
              <w:rPr>
                <w:b/>
                <w:bCs/>
                <w:sz w:val="20"/>
                <w:szCs w:val="20"/>
              </w:rPr>
              <w:fldChar w:fldCharType="separate"/>
            </w:r>
            <w:r w:rsidR="00B1000E">
              <w:rPr>
                <w:b/>
                <w:bCs/>
                <w:noProof/>
                <w:sz w:val="20"/>
                <w:szCs w:val="20"/>
              </w:rPr>
              <w:t>2</w:t>
            </w:r>
            <w:r w:rsidR="006315C2" w:rsidRPr="006315C2">
              <w:rPr>
                <w:b/>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5179" w14:textId="77777777" w:rsidR="006C63C5" w:rsidRDefault="006C63C5">
    <w:pPr>
      <w:spacing w:after="0" w:line="259" w:lineRule="auto"/>
      <w:ind w:left="0" w:right="43"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68FD" w14:textId="77777777" w:rsidR="00032A14" w:rsidRDefault="00032A14">
      <w:pPr>
        <w:spacing w:after="0" w:line="240" w:lineRule="auto"/>
      </w:pPr>
      <w:r>
        <w:separator/>
      </w:r>
    </w:p>
  </w:footnote>
  <w:footnote w:type="continuationSeparator" w:id="0">
    <w:p w14:paraId="2E06B703" w14:textId="77777777" w:rsidR="00032A14" w:rsidRDefault="00032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F523" w14:textId="172389E0" w:rsidR="00B62759" w:rsidRDefault="00B62759" w:rsidP="00B62759">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9CF"/>
    <w:multiLevelType w:val="hybridMultilevel"/>
    <w:tmpl w:val="DC00927C"/>
    <w:lvl w:ilvl="0" w:tplc="42BA3C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856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1AED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348C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6E77C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7C4F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3E76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70B4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544C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315588701.2"/>
    <w:docVar w:name="MPDocIDTemplate" w:val="%n|.%v"/>
    <w:docVar w:name="MPDocIDTemplateDefault" w:val="%n|.%v"/>
    <w:docVar w:name="NewDocStampType" w:val="2"/>
  </w:docVars>
  <w:rsids>
    <w:rsidRoot w:val="006C63C5"/>
    <w:rsid w:val="00032A14"/>
    <w:rsid w:val="00035DD7"/>
    <w:rsid w:val="00083195"/>
    <w:rsid w:val="000B5510"/>
    <w:rsid w:val="000F0120"/>
    <w:rsid w:val="00134EFF"/>
    <w:rsid w:val="00143441"/>
    <w:rsid w:val="00143D1E"/>
    <w:rsid w:val="00183518"/>
    <w:rsid w:val="00190396"/>
    <w:rsid w:val="00194EBE"/>
    <w:rsid w:val="001A611C"/>
    <w:rsid w:val="001B23FA"/>
    <w:rsid w:val="001C4A9F"/>
    <w:rsid w:val="001D77A1"/>
    <w:rsid w:val="00211314"/>
    <w:rsid w:val="00221750"/>
    <w:rsid w:val="00241A73"/>
    <w:rsid w:val="002750FA"/>
    <w:rsid w:val="002B1E0A"/>
    <w:rsid w:val="002B2589"/>
    <w:rsid w:val="002D0F91"/>
    <w:rsid w:val="00355C59"/>
    <w:rsid w:val="00366EF6"/>
    <w:rsid w:val="003C08AE"/>
    <w:rsid w:val="0043513C"/>
    <w:rsid w:val="004442FD"/>
    <w:rsid w:val="00445D54"/>
    <w:rsid w:val="00454302"/>
    <w:rsid w:val="00456DE0"/>
    <w:rsid w:val="00461C9E"/>
    <w:rsid w:val="00467B1E"/>
    <w:rsid w:val="00474E35"/>
    <w:rsid w:val="004A13A2"/>
    <w:rsid w:val="004A2B8A"/>
    <w:rsid w:val="004C1ECD"/>
    <w:rsid w:val="004D7C0C"/>
    <w:rsid w:val="0053535B"/>
    <w:rsid w:val="005379B2"/>
    <w:rsid w:val="005817CD"/>
    <w:rsid w:val="00581DFD"/>
    <w:rsid w:val="00597020"/>
    <w:rsid w:val="005C5C70"/>
    <w:rsid w:val="005D24EE"/>
    <w:rsid w:val="006315C2"/>
    <w:rsid w:val="00633A2E"/>
    <w:rsid w:val="006A0CFD"/>
    <w:rsid w:val="006C63C5"/>
    <w:rsid w:val="006C7511"/>
    <w:rsid w:val="006E2C4D"/>
    <w:rsid w:val="00715A18"/>
    <w:rsid w:val="00744241"/>
    <w:rsid w:val="00797AA9"/>
    <w:rsid w:val="00817515"/>
    <w:rsid w:val="00843A06"/>
    <w:rsid w:val="00895699"/>
    <w:rsid w:val="008C3A32"/>
    <w:rsid w:val="00932E5B"/>
    <w:rsid w:val="009860A2"/>
    <w:rsid w:val="009A4B82"/>
    <w:rsid w:val="009C072D"/>
    <w:rsid w:val="009E079F"/>
    <w:rsid w:val="009E0EAB"/>
    <w:rsid w:val="009F03AB"/>
    <w:rsid w:val="00A03C32"/>
    <w:rsid w:val="00A11F44"/>
    <w:rsid w:val="00AD202F"/>
    <w:rsid w:val="00AD543A"/>
    <w:rsid w:val="00B1000E"/>
    <w:rsid w:val="00B10C46"/>
    <w:rsid w:val="00B13F05"/>
    <w:rsid w:val="00B62759"/>
    <w:rsid w:val="00BB1D6A"/>
    <w:rsid w:val="00BE47C5"/>
    <w:rsid w:val="00BF7265"/>
    <w:rsid w:val="00C07B55"/>
    <w:rsid w:val="00C26C78"/>
    <w:rsid w:val="00CA6C91"/>
    <w:rsid w:val="00CB02EB"/>
    <w:rsid w:val="00CD11B1"/>
    <w:rsid w:val="00CF1558"/>
    <w:rsid w:val="00CF15FD"/>
    <w:rsid w:val="00CF5E49"/>
    <w:rsid w:val="00D13D82"/>
    <w:rsid w:val="00D15C0F"/>
    <w:rsid w:val="00D45CAE"/>
    <w:rsid w:val="00D506F0"/>
    <w:rsid w:val="00D65154"/>
    <w:rsid w:val="00D678E4"/>
    <w:rsid w:val="00D73A41"/>
    <w:rsid w:val="00D82B22"/>
    <w:rsid w:val="00DA3733"/>
    <w:rsid w:val="00E41762"/>
    <w:rsid w:val="00E47210"/>
    <w:rsid w:val="00E52FAC"/>
    <w:rsid w:val="00E53712"/>
    <w:rsid w:val="00E96E51"/>
    <w:rsid w:val="00EA0E81"/>
    <w:rsid w:val="00F20C98"/>
    <w:rsid w:val="00F23BBD"/>
    <w:rsid w:val="00F31B4F"/>
    <w:rsid w:val="00F4060C"/>
    <w:rsid w:val="00F46148"/>
    <w:rsid w:val="00FA566B"/>
    <w:rsid w:val="00FB38B0"/>
    <w:rsid w:val="00FD654C"/>
    <w:rsid w:val="00FF1C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A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1" w:line="250" w:lineRule="auto"/>
      <w:ind w:left="10" w:right="46"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83"/>
      <w:ind w:left="89"/>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27"/>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79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AA9"/>
    <w:rPr>
      <w:rFonts w:ascii="Arial" w:eastAsia="Arial" w:hAnsi="Arial" w:cs="Arial"/>
      <w:color w:val="000000"/>
      <w:sz w:val="20"/>
    </w:rPr>
  </w:style>
  <w:style w:type="paragraph" w:styleId="Footer">
    <w:name w:val="footer"/>
    <w:basedOn w:val="Normal"/>
    <w:link w:val="FooterChar"/>
    <w:uiPriority w:val="99"/>
    <w:unhideWhenUsed/>
    <w:rsid w:val="006315C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315C2"/>
    <w:rPr>
      <w:rFonts w:cs="Times New Roman"/>
      <w:lang w:val="en-US" w:eastAsia="en-US"/>
    </w:rPr>
  </w:style>
  <w:style w:type="paragraph" w:styleId="BalloonText">
    <w:name w:val="Balloon Text"/>
    <w:basedOn w:val="Normal"/>
    <w:link w:val="BalloonTextChar"/>
    <w:uiPriority w:val="99"/>
    <w:semiHidden/>
    <w:unhideWhenUsed/>
    <w:rsid w:val="009E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79F"/>
    <w:rPr>
      <w:rFonts w:ascii="Segoe UI" w:eastAsia="Arial" w:hAnsi="Segoe UI" w:cs="Segoe UI"/>
      <w:color w:val="000000"/>
      <w:sz w:val="18"/>
      <w:szCs w:val="18"/>
    </w:rPr>
  </w:style>
  <w:style w:type="paragraph" w:styleId="Revision">
    <w:name w:val="Revision"/>
    <w:hidden/>
    <w:uiPriority w:val="99"/>
    <w:semiHidden/>
    <w:rsid w:val="002B2589"/>
    <w:pPr>
      <w:spacing w:after="0" w:line="240" w:lineRule="auto"/>
    </w:pPr>
    <w:rPr>
      <w:rFonts w:ascii="Arial" w:eastAsia="Arial" w:hAnsi="Arial" w:cs="Arial"/>
      <w:color w:val="000000"/>
      <w:sz w:val="20"/>
    </w:rPr>
  </w:style>
  <w:style w:type="character" w:customStyle="1" w:styleId="zzmpTrailerItem">
    <w:name w:val="zzmpTrailerItem"/>
    <w:rsid w:val="00744241"/>
    <w:rPr>
      <w:rFonts w:ascii="Arial" w:hAnsi="Arial" w:cs="Arial"/>
      <w:dstrike w:val="0"/>
      <w:noProof/>
      <w:color w:val="000000"/>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1" w:line="250" w:lineRule="auto"/>
      <w:ind w:left="10" w:right="46"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83"/>
      <w:ind w:left="89"/>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27"/>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79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AA9"/>
    <w:rPr>
      <w:rFonts w:ascii="Arial" w:eastAsia="Arial" w:hAnsi="Arial" w:cs="Arial"/>
      <w:color w:val="000000"/>
      <w:sz w:val="20"/>
    </w:rPr>
  </w:style>
  <w:style w:type="paragraph" w:styleId="Footer">
    <w:name w:val="footer"/>
    <w:basedOn w:val="Normal"/>
    <w:link w:val="FooterChar"/>
    <w:uiPriority w:val="99"/>
    <w:unhideWhenUsed/>
    <w:rsid w:val="006315C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315C2"/>
    <w:rPr>
      <w:rFonts w:cs="Times New Roman"/>
      <w:lang w:val="en-US" w:eastAsia="en-US"/>
    </w:rPr>
  </w:style>
  <w:style w:type="paragraph" w:styleId="BalloonText">
    <w:name w:val="Balloon Text"/>
    <w:basedOn w:val="Normal"/>
    <w:link w:val="BalloonTextChar"/>
    <w:uiPriority w:val="99"/>
    <w:semiHidden/>
    <w:unhideWhenUsed/>
    <w:rsid w:val="009E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79F"/>
    <w:rPr>
      <w:rFonts w:ascii="Segoe UI" w:eastAsia="Arial" w:hAnsi="Segoe UI" w:cs="Segoe UI"/>
      <w:color w:val="000000"/>
      <w:sz w:val="18"/>
      <w:szCs w:val="18"/>
    </w:rPr>
  </w:style>
  <w:style w:type="paragraph" w:styleId="Revision">
    <w:name w:val="Revision"/>
    <w:hidden/>
    <w:uiPriority w:val="99"/>
    <w:semiHidden/>
    <w:rsid w:val="002B2589"/>
    <w:pPr>
      <w:spacing w:after="0" w:line="240" w:lineRule="auto"/>
    </w:pPr>
    <w:rPr>
      <w:rFonts w:ascii="Arial" w:eastAsia="Arial" w:hAnsi="Arial" w:cs="Arial"/>
      <w:color w:val="000000"/>
      <w:sz w:val="20"/>
    </w:rPr>
  </w:style>
  <w:style w:type="character" w:customStyle="1" w:styleId="zzmpTrailerItem">
    <w:name w:val="zzmpTrailerItem"/>
    <w:rsid w:val="00744241"/>
    <w:rPr>
      <w:rFonts w:ascii="Arial" w:hAnsi="Arial" w:cs="Arial"/>
      <w:dstrike w:val="0"/>
      <w:noProof/>
      <w:color w:val="000000"/>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5E604CA-02BF-4D1A-B807-6DE7060B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Opal - Versus Press Release DRAFT 11 20 15 compared with Opal - Versus Press Release DRAFT 11 23 15</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Opal - Versus Press Release DRAFT 11 20 15 compared with Opal - Versus Press Release DRAFT 11 23 15</dc:title>
  <dc:creator>nick</dc:creator>
  <cp:lastModifiedBy>Leah Martin</cp:lastModifiedBy>
  <cp:revision>4</cp:revision>
  <cp:lastPrinted>2015-11-23T23:33:00Z</cp:lastPrinted>
  <dcterms:created xsi:type="dcterms:W3CDTF">2015-11-24T19:31:00Z</dcterms:created>
  <dcterms:modified xsi:type="dcterms:W3CDTF">2015-11-24T20:03:00Z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3.4.15.4</vt:lpwstr>
  </property>
</Properties>
</file>