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AB0" w:rsidRPr="00152FB2" w:rsidRDefault="00424A2F" w:rsidP="00630AB0">
      <w:pPr>
        <w:pStyle w:val="NormalWeb"/>
        <w:jc w:val="center"/>
        <w:rPr>
          <w:rFonts w:ascii="Times-Bold" w:hAnsi="Times-Bold"/>
          <w:b/>
          <w:bCs/>
          <w:color w:val="auto"/>
        </w:rPr>
      </w:pPr>
      <w:bookmarkStart w:id="0" w:name="_GoBack"/>
      <w:bookmarkEnd w:id="0"/>
      <w:r w:rsidRPr="00152FB2">
        <w:rPr>
          <w:rFonts w:ascii="Times-Bold" w:hAnsi="Times-Bold"/>
          <w:b/>
          <w:bCs/>
          <w:noProof/>
        </w:rPr>
        <w:drawing>
          <wp:anchor distT="0" distB="0" distL="114300" distR="114300" simplePos="0" relativeHeight="251657728" behindDoc="0" locked="0" layoutInCell="1" allowOverlap="1">
            <wp:simplePos x="0" y="0"/>
            <wp:positionH relativeFrom="column">
              <wp:posOffset>280035</wp:posOffset>
            </wp:positionH>
            <wp:positionV relativeFrom="paragraph">
              <wp:posOffset>-111760</wp:posOffset>
            </wp:positionV>
            <wp:extent cx="4343400" cy="1225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t="9525" r="1895"/>
                    <a:stretch>
                      <a:fillRect/>
                    </a:stretch>
                  </pic:blipFill>
                  <pic:spPr bwMode="auto">
                    <a:xfrm>
                      <a:off x="0" y="0"/>
                      <a:ext cx="4343400" cy="1225550"/>
                    </a:xfrm>
                    <a:prstGeom prst="rect">
                      <a:avLst/>
                    </a:prstGeom>
                    <a:noFill/>
                  </pic:spPr>
                </pic:pic>
              </a:graphicData>
            </a:graphic>
          </wp:anchor>
        </w:drawing>
      </w:r>
    </w:p>
    <w:p w:rsidR="00630AB0" w:rsidRPr="00152FB2" w:rsidRDefault="009A31D1" w:rsidP="00630AB0">
      <w:pPr>
        <w:pStyle w:val="NormalWeb"/>
        <w:rPr>
          <w:rFonts w:ascii="Times-Bold" w:hAnsi="Times-Bold"/>
          <w:b/>
          <w:bCs/>
          <w:color w:val="auto"/>
        </w:rPr>
      </w:pPr>
    </w:p>
    <w:p w:rsidR="00205DF3" w:rsidRPr="00152FB2" w:rsidRDefault="009A31D1" w:rsidP="00630AB0">
      <w:pPr>
        <w:pStyle w:val="NormalWeb"/>
        <w:jc w:val="center"/>
        <w:rPr>
          <w:rFonts w:ascii="Times-Bold" w:hAnsi="Times-Bold"/>
          <w:b/>
          <w:bCs/>
          <w:color w:val="auto"/>
        </w:rPr>
      </w:pPr>
    </w:p>
    <w:p w:rsidR="00205DF3" w:rsidRPr="00152FB2" w:rsidRDefault="009A31D1" w:rsidP="00630AB0">
      <w:pPr>
        <w:pStyle w:val="NormalWeb"/>
        <w:jc w:val="center"/>
        <w:rPr>
          <w:rFonts w:ascii="Times-Bold" w:hAnsi="Times-Bold"/>
          <w:b/>
          <w:bCs/>
          <w:color w:val="auto"/>
        </w:rPr>
      </w:pPr>
    </w:p>
    <w:p w:rsidR="00FB270A" w:rsidRPr="00835C0A" w:rsidRDefault="00584B70" w:rsidP="00FB270A">
      <w:pPr>
        <w:jc w:val="center"/>
        <w:rPr>
          <w:b/>
          <w:sz w:val="30"/>
          <w:szCs w:val="30"/>
        </w:rPr>
      </w:pPr>
      <w:r>
        <w:rPr>
          <w:b/>
          <w:sz w:val="30"/>
          <w:szCs w:val="30"/>
        </w:rPr>
        <w:t>Update on Rattlesnake Property</w:t>
      </w:r>
    </w:p>
    <w:p w:rsidR="00F228BB" w:rsidRPr="00152FB2" w:rsidRDefault="009A31D1" w:rsidP="004B6353">
      <w:pPr>
        <w:rPr>
          <w:b/>
          <w:bCs/>
          <w:szCs w:val="24"/>
          <w:u w:val="single"/>
        </w:rPr>
      </w:pPr>
    </w:p>
    <w:p w:rsidR="00584B70" w:rsidRPr="00584B70" w:rsidRDefault="00584B70" w:rsidP="007B75A7">
      <w:pPr>
        <w:jc w:val="both"/>
        <w:rPr>
          <w:b/>
          <w:bCs/>
          <w:szCs w:val="24"/>
        </w:rPr>
      </w:pPr>
      <w:r w:rsidRPr="00584B70">
        <w:rPr>
          <w:b/>
          <w:bCs/>
          <w:szCs w:val="24"/>
        </w:rPr>
        <w:t xml:space="preserve">March </w:t>
      </w:r>
      <w:r w:rsidR="00311F67">
        <w:rPr>
          <w:b/>
          <w:bCs/>
          <w:szCs w:val="24"/>
        </w:rPr>
        <w:t>2</w:t>
      </w:r>
      <w:r w:rsidR="00424A2F" w:rsidRPr="00584B70">
        <w:rPr>
          <w:b/>
          <w:bCs/>
          <w:szCs w:val="24"/>
        </w:rPr>
        <w:t>, 201</w:t>
      </w:r>
      <w:r w:rsidRPr="00584B70">
        <w:rPr>
          <w:b/>
          <w:bCs/>
          <w:szCs w:val="24"/>
        </w:rPr>
        <w:t>6</w:t>
      </w:r>
      <w:r w:rsidR="00424A2F" w:rsidRPr="00584B70">
        <w:rPr>
          <w:b/>
          <w:bCs/>
          <w:szCs w:val="24"/>
        </w:rPr>
        <w:t xml:space="preserve">, Vancouver, British Columbia: </w:t>
      </w:r>
    </w:p>
    <w:p w:rsidR="00584B70" w:rsidRPr="00584B70" w:rsidRDefault="00424A2F" w:rsidP="00584B70">
      <w:pPr>
        <w:spacing w:before="120"/>
        <w:jc w:val="both"/>
        <w:rPr>
          <w:bCs/>
          <w:szCs w:val="24"/>
        </w:rPr>
      </w:pPr>
      <w:r w:rsidRPr="00584B70">
        <w:rPr>
          <w:b/>
          <w:bCs/>
          <w:szCs w:val="24"/>
        </w:rPr>
        <w:t>Evolving Gold Co</w:t>
      </w:r>
      <w:r w:rsidR="00EC3CFF" w:rsidRPr="00584B70">
        <w:rPr>
          <w:b/>
          <w:bCs/>
          <w:szCs w:val="24"/>
        </w:rPr>
        <w:t>rp. (</w:t>
      </w:r>
      <w:r w:rsidR="005466AE" w:rsidRPr="00584B70">
        <w:rPr>
          <w:b/>
          <w:bCs/>
          <w:szCs w:val="24"/>
        </w:rPr>
        <w:t>CSE</w:t>
      </w:r>
      <w:r w:rsidR="00EC3CFF" w:rsidRPr="00584B70">
        <w:rPr>
          <w:b/>
          <w:bCs/>
          <w:szCs w:val="24"/>
        </w:rPr>
        <w:t>: EVG) (FSE: EV7) (OTCB</w:t>
      </w:r>
      <w:r w:rsidRPr="00584B70">
        <w:rPr>
          <w:b/>
          <w:bCs/>
          <w:szCs w:val="24"/>
        </w:rPr>
        <w:t xml:space="preserve">: EVOGF) (the “Company”) </w:t>
      </w:r>
    </w:p>
    <w:p w:rsidR="007B75A7" w:rsidRPr="00584B70" w:rsidRDefault="00584B70" w:rsidP="00584B70">
      <w:pPr>
        <w:spacing w:before="120"/>
        <w:jc w:val="both"/>
        <w:rPr>
          <w:szCs w:val="24"/>
          <w:lang w:eastAsia="en-CA"/>
        </w:rPr>
      </w:pPr>
      <w:r w:rsidRPr="00584B70">
        <w:rPr>
          <w:bCs/>
          <w:szCs w:val="24"/>
        </w:rPr>
        <w:t xml:space="preserve">By news dated July 29, 2015 the Company announced it had sold its Rattlesnake Property of GFG Resources (US) Inc. </w:t>
      </w:r>
      <w:r>
        <w:rPr>
          <w:bCs/>
          <w:szCs w:val="24"/>
        </w:rPr>
        <w:t xml:space="preserve">(“GFG”) </w:t>
      </w:r>
      <w:r w:rsidRPr="00584B70">
        <w:rPr>
          <w:bCs/>
          <w:szCs w:val="24"/>
        </w:rPr>
        <w:t>for a combination of cash, shares and promissory note</w:t>
      </w:r>
      <w:r w:rsidR="007B75A7" w:rsidRPr="00584B70">
        <w:rPr>
          <w:szCs w:val="24"/>
          <w:lang w:eastAsia="en-CA"/>
        </w:rPr>
        <w:t>.</w:t>
      </w:r>
      <w:r w:rsidRPr="00584B70">
        <w:rPr>
          <w:szCs w:val="24"/>
          <w:lang w:eastAsia="en-CA"/>
        </w:rPr>
        <w:t xml:space="preserve">  As an update to that release, the Company advises:</w:t>
      </w:r>
    </w:p>
    <w:p w:rsidR="00584B70" w:rsidRDefault="00584B70" w:rsidP="00584B70">
      <w:pPr>
        <w:spacing w:before="120"/>
        <w:ind w:left="720" w:hanging="540"/>
        <w:jc w:val="both"/>
        <w:rPr>
          <w:bCs/>
          <w:szCs w:val="24"/>
        </w:rPr>
      </w:pPr>
      <w:r w:rsidRPr="00584B70">
        <w:rPr>
          <w:bCs/>
          <w:szCs w:val="24"/>
        </w:rPr>
        <w:t xml:space="preserve">1. </w:t>
      </w:r>
      <w:r w:rsidRPr="00584B70">
        <w:rPr>
          <w:bCs/>
          <w:szCs w:val="24"/>
        </w:rPr>
        <w:tab/>
      </w:r>
      <w:proofErr w:type="gramStart"/>
      <w:r w:rsidRPr="00584B70">
        <w:rPr>
          <w:bCs/>
          <w:szCs w:val="24"/>
        </w:rPr>
        <w:t>it</w:t>
      </w:r>
      <w:proofErr w:type="gramEnd"/>
      <w:r w:rsidRPr="00584B70">
        <w:rPr>
          <w:bCs/>
          <w:szCs w:val="24"/>
        </w:rPr>
        <w:t xml:space="preserve"> has received </w:t>
      </w:r>
      <w:r>
        <w:rPr>
          <w:bCs/>
          <w:szCs w:val="24"/>
        </w:rPr>
        <w:t>US$</w:t>
      </w:r>
      <w:r w:rsidR="00176FD3">
        <w:rPr>
          <w:bCs/>
          <w:szCs w:val="24"/>
        </w:rPr>
        <w:t>270,937.50</w:t>
      </w:r>
      <w:r>
        <w:rPr>
          <w:bCs/>
          <w:szCs w:val="24"/>
        </w:rPr>
        <w:t xml:space="preserve"> from the US$286,000 that was held in escrow;</w:t>
      </w:r>
    </w:p>
    <w:p w:rsidR="00584B70" w:rsidRDefault="00584B70" w:rsidP="00584B70">
      <w:pPr>
        <w:spacing w:before="120"/>
        <w:ind w:left="720" w:hanging="540"/>
        <w:jc w:val="both"/>
        <w:rPr>
          <w:bCs/>
          <w:szCs w:val="24"/>
        </w:rPr>
      </w:pPr>
      <w:r>
        <w:rPr>
          <w:bCs/>
          <w:szCs w:val="24"/>
        </w:rPr>
        <w:t xml:space="preserve">2. </w:t>
      </w:r>
      <w:r>
        <w:rPr>
          <w:bCs/>
          <w:szCs w:val="24"/>
        </w:rPr>
        <w:tab/>
        <w:t>it continues to hold 2,000,000 shares of GFG, and continues to have the right to hold at least 9% of the outstanding shares of GFG upon it obtaining a public listing of its shares on a North American stock exchange;</w:t>
      </w:r>
    </w:p>
    <w:p w:rsidR="00584B70" w:rsidRDefault="00584B70" w:rsidP="00584B70">
      <w:pPr>
        <w:spacing w:before="120"/>
        <w:ind w:left="720" w:hanging="540"/>
        <w:jc w:val="both"/>
        <w:rPr>
          <w:bCs/>
          <w:szCs w:val="24"/>
        </w:rPr>
      </w:pPr>
      <w:r>
        <w:rPr>
          <w:bCs/>
          <w:szCs w:val="24"/>
        </w:rPr>
        <w:t xml:space="preserve">3. </w:t>
      </w:r>
      <w:r>
        <w:rPr>
          <w:bCs/>
          <w:szCs w:val="24"/>
        </w:rPr>
        <w:tab/>
        <w:t>GFG extended its deadline to show significant progress toward obtain a public listing</w:t>
      </w:r>
      <w:r w:rsidR="00176FD3">
        <w:rPr>
          <w:bCs/>
          <w:szCs w:val="24"/>
        </w:rPr>
        <w:t>,</w:t>
      </w:r>
      <w:r>
        <w:rPr>
          <w:bCs/>
          <w:szCs w:val="24"/>
        </w:rPr>
        <w:t xml:space="preserve"> from November 15, 2015 to February 15, 2016; and</w:t>
      </w:r>
      <w:r w:rsidRPr="00584B70">
        <w:rPr>
          <w:bCs/>
          <w:szCs w:val="24"/>
        </w:rPr>
        <w:t xml:space="preserve"> </w:t>
      </w:r>
    </w:p>
    <w:p w:rsidR="00584B70" w:rsidRDefault="00584B70" w:rsidP="00584B70">
      <w:pPr>
        <w:spacing w:before="120"/>
        <w:ind w:left="720" w:hanging="540"/>
        <w:jc w:val="both"/>
        <w:rPr>
          <w:bCs/>
          <w:szCs w:val="24"/>
        </w:rPr>
      </w:pPr>
      <w:r>
        <w:rPr>
          <w:bCs/>
          <w:szCs w:val="24"/>
        </w:rPr>
        <w:t xml:space="preserve">4. </w:t>
      </w:r>
      <w:r>
        <w:rPr>
          <w:bCs/>
          <w:szCs w:val="24"/>
        </w:rPr>
        <w:tab/>
      </w:r>
      <w:proofErr w:type="gramStart"/>
      <w:r>
        <w:rPr>
          <w:bCs/>
          <w:szCs w:val="24"/>
        </w:rPr>
        <w:t>the</w:t>
      </w:r>
      <w:proofErr w:type="gramEnd"/>
      <w:r>
        <w:rPr>
          <w:bCs/>
          <w:szCs w:val="24"/>
        </w:rPr>
        <w:t xml:space="preserve"> Company has requested and expects to receive an additional 200,000 common shares of GFG as a result of GFG not meeting its public listing progress deadline (and thereby be entitled to hold at least 9.9% of the outstanding shares of GFG upon it obtaining a public listing</w:t>
      </w:r>
      <w:r w:rsidR="00176FD3">
        <w:rPr>
          <w:bCs/>
          <w:szCs w:val="24"/>
        </w:rPr>
        <w:t>)</w:t>
      </w:r>
      <w:r>
        <w:rPr>
          <w:bCs/>
          <w:szCs w:val="24"/>
        </w:rPr>
        <w:t>.</w:t>
      </w:r>
    </w:p>
    <w:p w:rsidR="00176FD3" w:rsidRDefault="00176FD3" w:rsidP="007B75A7">
      <w:pPr>
        <w:jc w:val="both"/>
        <w:rPr>
          <w:bCs/>
          <w:szCs w:val="24"/>
        </w:rPr>
      </w:pPr>
    </w:p>
    <w:p w:rsidR="007B75A7" w:rsidRPr="00176FD3" w:rsidRDefault="00176FD3" w:rsidP="007B75A7">
      <w:pPr>
        <w:jc w:val="both"/>
        <w:rPr>
          <w:bCs/>
          <w:szCs w:val="24"/>
        </w:rPr>
      </w:pPr>
      <w:r w:rsidRPr="00176FD3">
        <w:rPr>
          <w:bCs/>
          <w:szCs w:val="24"/>
        </w:rPr>
        <w:t xml:space="preserve">The </w:t>
      </w:r>
      <w:r>
        <w:rPr>
          <w:bCs/>
          <w:szCs w:val="24"/>
        </w:rPr>
        <w:t xml:space="preserve">Company continues to look forward to GFG obtaining a public listing of its shares; however the Company </w:t>
      </w:r>
      <w:r w:rsidR="00311F67">
        <w:rPr>
          <w:bCs/>
          <w:szCs w:val="24"/>
        </w:rPr>
        <w:t>intends</w:t>
      </w:r>
      <w:r>
        <w:rPr>
          <w:bCs/>
          <w:szCs w:val="24"/>
        </w:rPr>
        <w:t xml:space="preserve"> to dispose of its equity interest in GFG in advance of such date, including exercising its contractual right to put its shares to GFG</w:t>
      </w:r>
      <w:r w:rsidR="00C54F78">
        <w:rPr>
          <w:bCs/>
          <w:szCs w:val="24"/>
        </w:rPr>
        <w:t xml:space="preserve"> on March 31, 2016 at US$0.25 per share</w:t>
      </w:r>
      <w:r w:rsidR="00311F67">
        <w:rPr>
          <w:bCs/>
          <w:szCs w:val="24"/>
        </w:rPr>
        <w:t>, or other means</w:t>
      </w:r>
      <w:r>
        <w:rPr>
          <w:bCs/>
          <w:szCs w:val="24"/>
        </w:rPr>
        <w:t xml:space="preserve">. </w:t>
      </w:r>
    </w:p>
    <w:p w:rsidR="00267911" w:rsidRPr="00584B70" w:rsidRDefault="00424A2F" w:rsidP="00BD2C45">
      <w:pPr>
        <w:pStyle w:val="BodyText"/>
        <w:rPr>
          <w:sz w:val="24"/>
          <w:szCs w:val="24"/>
        </w:rPr>
      </w:pPr>
      <w:r w:rsidRPr="00584B70">
        <w:rPr>
          <w:sz w:val="24"/>
          <w:szCs w:val="24"/>
        </w:rPr>
        <w:t xml:space="preserve">On Behalf of the Board of Directors </w:t>
      </w:r>
    </w:p>
    <w:p w:rsidR="00BD2C45" w:rsidRPr="00BA15C6" w:rsidRDefault="00424A2F" w:rsidP="00BD2C45">
      <w:pPr>
        <w:pStyle w:val="BodyText"/>
        <w:rPr>
          <w:rStyle w:val="Strong"/>
          <w:sz w:val="24"/>
          <w:szCs w:val="24"/>
        </w:rPr>
      </w:pPr>
      <w:proofErr w:type="gramStart"/>
      <w:r w:rsidRPr="00BA15C6">
        <w:rPr>
          <w:rStyle w:val="Strong"/>
          <w:sz w:val="24"/>
          <w:szCs w:val="24"/>
        </w:rPr>
        <w:t>EVOLVING GOLD CORP.</w:t>
      </w:r>
      <w:proofErr w:type="gramEnd"/>
    </w:p>
    <w:p w:rsidR="00BD2C45" w:rsidRPr="00BA15C6" w:rsidRDefault="00424A2F" w:rsidP="00BD2C45">
      <w:pPr>
        <w:pStyle w:val="BodyText"/>
        <w:tabs>
          <w:tab w:val="left" w:pos="3119"/>
        </w:tabs>
        <w:rPr>
          <w:rStyle w:val="Emphasis"/>
          <w:sz w:val="24"/>
          <w:szCs w:val="24"/>
        </w:rPr>
      </w:pPr>
      <w:r w:rsidRPr="00BA15C6">
        <w:rPr>
          <w:rStyle w:val="Emphasis"/>
          <w:sz w:val="24"/>
          <w:szCs w:val="24"/>
          <w:u w:val="single"/>
        </w:rPr>
        <w:t>“R. Bruce Duncan”</w:t>
      </w:r>
      <w:r w:rsidRPr="00BA15C6">
        <w:rPr>
          <w:rStyle w:val="Emphasis"/>
          <w:sz w:val="24"/>
          <w:szCs w:val="24"/>
          <w:u w:val="single"/>
        </w:rPr>
        <w:tab/>
      </w:r>
    </w:p>
    <w:p w:rsidR="00BD2C45" w:rsidRPr="00BA15C6" w:rsidRDefault="00424A2F" w:rsidP="00176FD3">
      <w:pPr>
        <w:pStyle w:val="BodyText"/>
        <w:spacing w:before="120"/>
        <w:rPr>
          <w:sz w:val="24"/>
          <w:szCs w:val="24"/>
        </w:rPr>
      </w:pPr>
      <w:r w:rsidRPr="00BA15C6">
        <w:rPr>
          <w:sz w:val="24"/>
          <w:szCs w:val="24"/>
        </w:rPr>
        <w:t>CEO and Director</w:t>
      </w:r>
    </w:p>
    <w:p w:rsidR="00BD2C45" w:rsidRPr="005B0CFE" w:rsidRDefault="00424A2F" w:rsidP="00BD2C45">
      <w:pPr>
        <w:pStyle w:val="BodyText"/>
        <w:rPr>
          <w:rStyle w:val="Strong"/>
          <w:szCs w:val="22"/>
        </w:rPr>
      </w:pPr>
      <w:r w:rsidRPr="005B0CFE">
        <w:rPr>
          <w:rStyle w:val="Strong"/>
          <w:szCs w:val="22"/>
        </w:rPr>
        <w:t>FOR MORE INFORMATION, PLEASE CONTACT:</w:t>
      </w:r>
    </w:p>
    <w:p w:rsidR="00BD2C45" w:rsidRPr="005B0CFE" w:rsidRDefault="00424A2F" w:rsidP="00BD2C45">
      <w:pPr>
        <w:pStyle w:val="BodyText"/>
        <w:rPr>
          <w:rStyle w:val="Hyperlink"/>
          <w:szCs w:val="22"/>
        </w:rPr>
      </w:pPr>
      <w:bookmarkStart w:id="1" w:name="OLE_LINK2"/>
      <w:bookmarkEnd w:id="1"/>
      <w:r w:rsidRPr="005B0CFE">
        <w:rPr>
          <w:rStyle w:val="Strong"/>
          <w:szCs w:val="22"/>
        </w:rPr>
        <w:t xml:space="preserve">Investor Relations: </w:t>
      </w:r>
      <w:r w:rsidRPr="005B0CFE">
        <w:rPr>
          <w:szCs w:val="22"/>
        </w:rPr>
        <w:br/>
        <w:t>Tel: 604.685.6375</w:t>
      </w:r>
      <w:r w:rsidRPr="005B0CFE">
        <w:rPr>
          <w:szCs w:val="22"/>
        </w:rPr>
        <w:br/>
        <w:t>TF:  866.604.3864</w:t>
      </w:r>
      <w:r w:rsidRPr="005B0CFE">
        <w:rPr>
          <w:rStyle w:val="Hyperlink"/>
          <w:szCs w:val="22"/>
        </w:rPr>
        <w:t xml:space="preserve"> </w:t>
      </w:r>
    </w:p>
    <w:p w:rsidR="00BD2C45" w:rsidRPr="00C87854" w:rsidRDefault="009A31D1" w:rsidP="00176FD3">
      <w:pPr>
        <w:pStyle w:val="BodyText"/>
        <w:spacing w:before="0"/>
        <w:rPr>
          <w:rStyle w:val="Hyperlink"/>
        </w:rPr>
      </w:pPr>
      <w:hyperlink r:id="rId9" w:history="1">
        <w:r w:rsidR="00424A2F" w:rsidRPr="00C87854">
          <w:rPr>
            <w:rStyle w:val="Hyperlink"/>
            <w:sz w:val="20"/>
          </w:rPr>
          <w:t>info@evolvinggold.com</w:t>
        </w:r>
      </w:hyperlink>
      <w:r w:rsidR="00424A2F" w:rsidRPr="00C87854">
        <w:rPr>
          <w:rStyle w:val="Hyperlink"/>
          <w:sz w:val="20"/>
        </w:rPr>
        <w:t xml:space="preserve">    </w:t>
      </w:r>
    </w:p>
    <w:p w:rsidR="00BA15C6" w:rsidRDefault="00BA15C6" w:rsidP="00C84057">
      <w:pPr>
        <w:pStyle w:val="BodyText"/>
        <w:jc w:val="both"/>
        <w:rPr>
          <w:bCs/>
          <w:sz w:val="20"/>
        </w:rPr>
      </w:pPr>
    </w:p>
    <w:p w:rsidR="00BA15C6" w:rsidRDefault="00BA15C6" w:rsidP="00C84057">
      <w:pPr>
        <w:pStyle w:val="BodyText"/>
        <w:jc w:val="both"/>
        <w:rPr>
          <w:bCs/>
          <w:sz w:val="20"/>
        </w:rPr>
      </w:pPr>
    </w:p>
    <w:p w:rsidR="00BA15C6" w:rsidRDefault="00BA15C6" w:rsidP="00C84057">
      <w:pPr>
        <w:pStyle w:val="BodyText"/>
        <w:jc w:val="both"/>
        <w:rPr>
          <w:bCs/>
          <w:sz w:val="20"/>
        </w:rPr>
      </w:pPr>
    </w:p>
    <w:p w:rsidR="006E2513" w:rsidRDefault="00C84057" w:rsidP="00C84057">
      <w:pPr>
        <w:pStyle w:val="BodyText"/>
        <w:jc w:val="both"/>
        <w:rPr>
          <w:bCs/>
          <w:sz w:val="20"/>
        </w:rPr>
      </w:pPr>
      <w:r w:rsidRPr="00C87854">
        <w:rPr>
          <w:bCs/>
          <w:sz w:val="20"/>
        </w:rPr>
        <w:t xml:space="preserve">Neither </w:t>
      </w:r>
      <w:r w:rsidR="00BA15C6">
        <w:rPr>
          <w:bCs/>
          <w:sz w:val="20"/>
        </w:rPr>
        <w:t xml:space="preserve">the Canadian Securities </w:t>
      </w:r>
      <w:r w:rsidRPr="00C87854">
        <w:rPr>
          <w:bCs/>
          <w:sz w:val="20"/>
        </w:rPr>
        <w:t xml:space="preserve">Exchange nor its Regulation Services Provider (as that term is defined in the policies of the </w:t>
      </w:r>
      <w:r w:rsidR="00BA15C6">
        <w:rPr>
          <w:bCs/>
          <w:sz w:val="20"/>
        </w:rPr>
        <w:t xml:space="preserve">Canadian Securities </w:t>
      </w:r>
      <w:r w:rsidRPr="00C87854">
        <w:rPr>
          <w:bCs/>
          <w:sz w:val="20"/>
        </w:rPr>
        <w:t>Exchange) accepts responsibility for the adequacy or accuracy of this release.</w:t>
      </w:r>
    </w:p>
    <w:p w:rsidR="00176FD3" w:rsidRDefault="00176FD3" w:rsidP="00C84057">
      <w:pPr>
        <w:pStyle w:val="BodyText"/>
        <w:jc w:val="both"/>
        <w:rPr>
          <w:bCs/>
          <w:sz w:val="20"/>
        </w:rPr>
      </w:pPr>
    </w:p>
    <w:p w:rsidR="00C84057" w:rsidRPr="00152FB2" w:rsidRDefault="00E73750" w:rsidP="00E73750">
      <w:pPr>
        <w:suppressAutoHyphens/>
        <w:jc w:val="both"/>
        <w:rPr>
          <w:rStyle w:val="Hyperlink"/>
          <w:sz w:val="22"/>
        </w:rPr>
      </w:pPr>
      <w:r w:rsidRPr="00E73750">
        <w:rPr>
          <w:b/>
          <w:bCs/>
          <w:sz w:val="18"/>
          <w:szCs w:val="18"/>
          <w:lang w:eastAsia="ar-SA"/>
        </w:rPr>
        <w:t>FORWARD LOOKING STATEMENTS:</w:t>
      </w:r>
      <w:r w:rsidRPr="00E73750">
        <w:rPr>
          <w:sz w:val="18"/>
          <w:szCs w:val="18"/>
          <w:lang w:eastAsia="ar-SA"/>
        </w:rPr>
        <w:t xml:space="preserve"> </w:t>
      </w:r>
      <w:r w:rsidRPr="00E73750">
        <w:rPr>
          <w:rStyle w:val="Emphasis"/>
          <w:iCs w:val="0"/>
          <w:sz w:val="18"/>
          <w:szCs w:val="18"/>
        </w:rPr>
        <w:t xml:space="preserve">This news release contains forward-looking statements, which relate to future events or future performance and reflect management’s current expectations and assumptions.  Such forward-looking statements reflect management’s current beliefs and are based on assumptions made by and information currently available to the Company. Investors are cautioned that these forward looking statements are neither promises nor guarantees, and are subject to risks and uncertainties that may cause future results to differ materially from those expected. </w:t>
      </w:r>
      <w:r w:rsidR="00176FD3">
        <w:rPr>
          <w:rStyle w:val="Emphasis"/>
          <w:iCs w:val="0"/>
          <w:sz w:val="18"/>
          <w:szCs w:val="18"/>
        </w:rPr>
        <w:t xml:space="preserve">Specifically, there is no guarantee as to the future value of the GFG shares held by the Company; that GFG will ever obtain a listing of its common shares on any stock exchange; or that GFG will have the means to acquire </w:t>
      </w:r>
      <w:r w:rsidR="00BA15C6">
        <w:rPr>
          <w:rStyle w:val="Emphasis"/>
          <w:iCs w:val="0"/>
          <w:sz w:val="18"/>
          <w:szCs w:val="18"/>
        </w:rPr>
        <w:t xml:space="preserve">the GFG shares held by the Company in accordance with its contractual obligations.  </w:t>
      </w:r>
      <w:r w:rsidRPr="00E73750">
        <w:rPr>
          <w:rStyle w:val="Emphasis"/>
          <w:iCs w:val="0"/>
          <w:sz w:val="18"/>
          <w:szCs w:val="18"/>
        </w:rPr>
        <w:t xml:space="preserve">These forward-looking statements are made as of the date hereof and, except as required under applicable securities legislation, the Company does not assume any obligation to update or revise them to reflect new events or circumstances. All of the forward-looking statements made in this press release are qualified by these cautionary statements and by those made in our filings with SEDAR in Canada (available at </w:t>
      </w:r>
      <w:r w:rsidRPr="00E73750">
        <w:rPr>
          <w:rStyle w:val="Emphasis"/>
          <w:iCs w:val="0"/>
          <w:color w:val="0000FF"/>
          <w:sz w:val="18"/>
          <w:szCs w:val="18"/>
          <w:u w:val="single"/>
        </w:rPr>
        <w:t>www.sedar.com</w:t>
      </w:r>
      <w:r w:rsidRPr="00E73750">
        <w:rPr>
          <w:rStyle w:val="Emphasis"/>
          <w:iCs w:val="0"/>
          <w:sz w:val="18"/>
          <w:szCs w:val="18"/>
        </w:rPr>
        <w:t xml:space="preserve">). </w:t>
      </w:r>
    </w:p>
    <w:sectPr w:rsidR="00C84057" w:rsidRPr="00152FB2" w:rsidSect="00847AD0">
      <w:headerReference w:type="even" r:id="rId10"/>
      <w:headerReference w:type="default" r:id="rId11"/>
      <w:footerReference w:type="even" r:id="rId12"/>
      <w:footerReference w:type="default" r:id="rId13"/>
      <w:headerReference w:type="first" r:id="rId14"/>
      <w:footerReference w:type="first" r:id="rId15"/>
      <w:pgSz w:w="12240" w:h="15840" w:code="1"/>
      <w:pgMar w:top="576" w:right="1260" w:bottom="1440" w:left="1350" w:header="720" w:footer="82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383" w:rsidRDefault="000A4383">
      <w:r>
        <w:separator/>
      </w:r>
    </w:p>
  </w:endnote>
  <w:endnote w:type="continuationSeparator" w:id="0">
    <w:p w:rsidR="000A4383" w:rsidRDefault="000A4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Open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BED" w:rsidRDefault="009A31D1" w:rsidP="0099765E">
    <w:pPr>
      <w:pStyle w:val="Footer"/>
    </w:pPr>
    <w:r>
      <w:fldChar w:fldCharType="begin"/>
    </w:r>
    <w:r>
      <w:instrText xml:space="preserve"> DOCVARIABLE RBRO_EasyID_Value \* MERGEFORMAT </w:instrText>
    </w:r>
    <w:r>
      <w:fldChar w:fldCharType="separate"/>
    </w:r>
    <w:r w:rsidR="00424A2F" w:rsidRPr="0099765E">
      <w:rPr>
        <w:rStyle w:val="EasyID"/>
      </w:rPr>
      <w:t>LEGAL_22439930.1</w:t>
    </w:r>
    <w:r>
      <w:rPr>
        <w:rStyle w:val="EasyI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219" w:rsidRPr="00464DCB" w:rsidRDefault="00311F67" w:rsidP="00464DCB">
    <w:pPr>
      <w:pStyle w:val="BodyText"/>
      <w:rPr>
        <w:sz w:val="16"/>
        <w:szCs w:val="16"/>
      </w:rPr>
    </w:pPr>
    <w:r w:rsidRPr="00311F67">
      <w:rPr>
        <w:noProof/>
        <w:sz w:val="16"/>
        <w:szCs w:val="16"/>
      </w:rPr>
      <w:t>{00461064;1}</w:t>
    </w:r>
    <w:r w:rsidR="00464DCB">
      <w:rPr>
        <w:sz w:val="16"/>
        <w:szCs w:val="16"/>
      </w:rPr>
      <w:tab/>
    </w:r>
    <w:r w:rsidR="00424A2F" w:rsidRPr="00464DCB">
      <w:rPr>
        <w:sz w:val="16"/>
        <w:szCs w:val="16"/>
      </w:rPr>
      <w:t>Suite 605 – 1166 Alberni Street, Vancouver, BC, Canada, V6E 3Z3</w:t>
    </w:r>
    <w:r w:rsidR="00424A2F" w:rsidRPr="00464DCB">
      <w:rPr>
        <w:sz w:val="16"/>
        <w:szCs w:val="16"/>
      </w:rPr>
      <w:br/>
      <w:t>Tel:  604.685-</w:t>
    </w:r>
    <w:proofErr w:type="gramStart"/>
    <w:r w:rsidR="00424A2F" w:rsidRPr="00464DCB">
      <w:rPr>
        <w:sz w:val="16"/>
        <w:szCs w:val="16"/>
      </w:rPr>
      <w:t>6375  Fax</w:t>
    </w:r>
    <w:proofErr w:type="gramEnd"/>
    <w:r w:rsidR="00424A2F" w:rsidRPr="00464DCB">
      <w:rPr>
        <w:sz w:val="16"/>
        <w:szCs w:val="16"/>
      </w:rPr>
      <w:t>. 604 909-</w:t>
    </w:r>
    <w:proofErr w:type="gramStart"/>
    <w:r w:rsidR="00424A2F" w:rsidRPr="00464DCB">
      <w:rPr>
        <w:sz w:val="16"/>
        <w:szCs w:val="16"/>
      </w:rPr>
      <w:t>1163  Email</w:t>
    </w:r>
    <w:proofErr w:type="gramEnd"/>
    <w:r w:rsidR="00424A2F" w:rsidRPr="00464DCB">
      <w:rPr>
        <w:sz w:val="16"/>
        <w:szCs w:val="16"/>
      </w:rPr>
      <w:t xml:space="preserve">:  </w:t>
    </w:r>
    <w:hyperlink r:id="rId1" w:history="1">
      <w:r w:rsidR="00424A2F" w:rsidRPr="00464DCB">
        <w:rPr>
          <w:rStyle w:val="Hyperlink"/>
          <w:sz w:val="16"/>
          <w:szCs w:val="16"/>
        </w:rPr>
        <w:t>info@evolvinggold.com</w:t>
      </w:r>
    </w:hyperlink>
    <w:r w:rsidR="00424A2F" w:rsidRPr="00464DCB">
      <w:rPr>
        <w:sz w:val="16"/>
        <w:szCs w:val="16"/>
      </w:rPr>
      <w:t xml:space="preserve">  Web: </w:t>
    </w:r>
    <w:hyperlink r:id="rId2" w:history="1">
      <w:r w:rsidR="00424A2F" w:rsidRPr="00464DCB">
        <w:rPr>
          <w:rStyle w:val="Hyperlink"/>
          <w:sz w:val="16"/>
          <w:szCs w:val="16"/>
        </w:rPr>
        <w:t>www.evolvinggold.com</w:t>
      </w:r>
    </w:hyperlink>
    <w:r w:rsidR="00424A2F" w:rsidRPr="00464DCB">
      <w:rPr>
        <w:sz w:val="16"/>
        <w:szCs w:val="16"/>
      </w:rPr>
      <w:br/>
      <w:t>TSX: EVG FSE: EV7</w:t>
    </w:r>
  </w:p>
  <w:p w:rsidR="000F5219" w:rsidRPr="00464DCB" w:rsidRDefault="009A31D1" w:rsidP="0099765E">
    <w:pPr>
      <w:pStyle w:val="Footer"/>
    </w:pPr>
    <w:r>
      <w:fldChar w:fldCharType="begin"/>
    </w:r>
    <w:r>
      <w:instrText xml:space="preserve"> DOCVARIABLE RBRO_EasyID_Value \* MERGEFORMAT </w:instrText>
    </w:r>
    <w:r>
      <w:fldChar w:fldCharType="separate"/>
    </w:r>
    <w:r w:rsidR="00424A2F" w:rsidRPr="00464DCB">
      <w:rPr>
        <w:rStyle w:val="EasyID"/>
      </w:rPr>
      <w:t>LEGAL_22439930.1</w:t>
    </w:r>
    <w:r>
      <w:rPr>
        <w:rStyle w:val="EasyI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FD3" w:rsidRDefault="00311F67" w:rsidP="00176FD3">
    <w:pPr>
      <w:pStyle w:val="BodyText"/>
      <w:rPr>
        <w:noProof/>
        <w:sz w:val="16"/>
        <w:szCs w:val="16"/>
      </w:rPr>
    </w:pPr>
    <w:r w:rsidRPr="00311F67">
      <w:rPr>
        <w:noProof/>
        <w:sz w:val="16"/>
        <w:szCs w:val="16"/>
      </w:rPr>
      <w:t>{00461064;1}</w:t>
    </w:r>
  </w:p>
  <w:p w:rsidR="000F5219" w:rsidRPr="00464DCB" w:rsidRDefault="00464DCB" w:rsidP="00176FD3">
    <w:pPr>
      <w:pStyle w:val="BodyText"/>
      <w:jc w:val="center"/>
      <w:rPr>
        <w:sz w:val="16"/>
        <w:szCs w:val="16"/>
      </w:rPr>
    </w:pPr>
    <w:r>
      <w:rPr>
        <w:sz w:val="16"/>
        <w:szCs w:val="16"/>
      </w:rPr>
      <w:tab/>
    </w:r>
    <w:r w:rsidR="00424A2F" w:rsidRPr="00176FD3">
      <w:rPr>
        <w:sz w:val="20"/>
      </w:rPr>
      <w:t>Suite 605 – 1166 Alberni Street, Vancouver, BC, Canada, V6E 3Z3</w:t>
    </w:r>
    <w:r w:rsidR="00424A2F" w:rsidRPr="00176FD3">
      <w:rPr>
        <w:sz w:val="20"/>
      </w:rPr>
      <w:br/>
      <w:t>Tel:  604.685-</w:t>
    </w:r>
    <w:proofErr w:type="gramStart"/>
    <w:r w:rsidR="00424A2F" w:rsidRPr="00176FD3">
      <w:rPr>
        <w:sz w:val="20"/>
      </w:rPr>
      <w:t>6375  Fax</w:t>
    </w:r>
    <w:proofErr w:type="gramEnd"/>
    <w:r w:rsidR="00424A2F" w:rsidRPr="00176FD3">
      <w:rPr>
        <w:sz w:val="20"/>
      </w:rPr>
      <w:t>. 604 909-</w:t>
    </w:r>
    <w:proofErr w:type="gramStart"/>
    <w:r w:rsidR="00424A2F" w:rsidRPr="00176FD3">
      <w:rPr>
        <w:sz w:val="20"/>
      </w:rPr>
      <w:t>1163  Email</w:t>
    </w:r>
    <w:proofErr w:type="gramEnd"/>
    <w:r w:rsidR="00424A2F" w:rsidRPr="00176FD3">
      <w:rPr>
        <w:sz w:val="20"/>
      </w:rPr>
      <w:t xml:space="preserve">:  </w:t>
    </w:r>
    <w:hyperlink r:id="rId1" w:history="1">
      <w:r w:rsidR="00424A2F" w:rsidRPr="00176FD3">
        <w:rPr>
          <w:rStyle w:val="Hyperlink"/>
          <w:sz w:val="20"/>
        </w:rPr>
        <w:t>info@evolvinggold.com</w:t>
      </w:r>
    </w:hyperlink>
    <w:r w:rsidR="00424A2F" w:rsidRPr="00176FD3">
      <w:rPr>
        <w:sz w:val="20"/>
      </w:rPr>
      <w:t xml:space="preserve">  Web: </w:t>
    </w:r>
    <w:hyperlink r:id="rId2" w:history="1">
      <w:r w:rsidR="00424A2F" w:rsidRPr="00176FD3">
        <w:rPr>
          <w:rStyle w:val="Hyperlink"/>
          <w:sz w:val="20"/>
        </w:rPr>
        <w:t>www.evolvinggold.com</w:t>
      </w:r>
    </w:hyperlink>
    <w:r w:rsidR="00424A2F" w:rsidRPr="00176FD3">
      <w:rPr>
        <w:sz w:val="20"/>
      </w:rPr>
      <w:br/>
      <w:t>TSX: EVG FSE: EV7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383" w:rsidRDefault="000A4383">
      <w:pPr>
        <w:rPr>
          <w:noProof/>
        </w:rPr>
      </w:pPr>
      <w:r>
        <w:rPr>
          <w:noProof/>
        </w:rPr>
        <w:separator/>
      </w:r>
    </w:p>
  </w:footnote>
  <w:footnote w:type="continuationSeparator" w:id="0">
    <w:p w:rsidR="000A4383" w:rsidRDefault="000A43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5C6" w:rsidRDefault="00BA15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219" w:rsidRDefault="00424A2F" w:rsidP="005C1B05">
    <w:pPr>
      <w:pStyle w:val="Header"/>
      <w:jc w:val="center"/>
    </w:pPr>
    <w:r>
      <w:rPr>
        <w:snapToGrid w:val="0"/>
      </w:rPr>
      <w:t xml:space="preserve">- </w:t>
    </w:r>
    <w:r w:rsidR="00377472">
      <w:rPr>
        <w:snapToGrid w:val="0"/>
      </w:rPr>
      <w:fldChar w:fldCharType="begin"/>
    </w:r>
    <w:r>
      <w:rPr>
        <w:snapToGrid w:val="0"/>
      </w:rPr>
      <w:instrText xml:space="preserve"> PAGE </w:instrText>
    </w:r>
    <w:r w:rsidR="00377472">
      <w:rPr>
        <w:snapToGrid w:val="0"/>
      </w:rPr>
      <w:fldChar w:fldCharType="separate"/>
    </w:r>
    <w:r w:rsidR="009A31D1">
      <w:rPr>
        <w:noProof/>
        <w:snapToGrid w:val="0"/>
      </w:rPr>
      <w:t>2</w:t>
    </w:r>
    <w:r w:rsidR="00377472">
      <w:rPr>
        <w:snapToGrid w:val="0"/>
      </w:rPr>
      <w:fldChar w:fldCharType="end"/>
    </w:r>
    <w:r>
      <w:rPr>
        <w:snapToGrid w:val="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5C6" w:rsidRDefault="00BA15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C6A64"/>
    <w:lvl w:ilvl="0">
      <w:start w:val="1"/>
      <w:numFmt w:val="decimal"/>
      <w:lvlText w:val="%1."/>
      <w:lvlJc w:val="left"/>
      <w:pPr>
        <w:tabs>
          <w:tab w:val="num" w:pos="1800"/>
        </w:tabs>
        <w:ind w:left="1800" w:hanging="360"/>
      </w:pPr>
    </w:lvl>
  </w:abstractNum>
  <w:abstractNum w:abstractNumId="1">
    <w:nsid w:val="FFFFFF7D"/>
    <w:multiLevelType w:val="singleLevel"/>
    <w:tmpl w:val="A20883F0"/>
    <w:lvl w:ilvl="0">
      <w:start w:val="1"/>
      <w:numFmt w:val="decimal"/>
      <w:lvlText w:val="%1."/>
      <w:lvlJc w:val="left"/>
      <w:pPr>
        <w:tabs>
          <w:tab w:val="num" w:pos="1440"/>
        </w:tabs>
        <w:ind w:left="1440" w:hanging="360"/>
      </w:pPr>
    </w:lvl>
  </w:abstractNum>
  <w:abstractNum w:abstractNumId="2">
    <w:nsid w:val="FFFFFF7E"/>
    <w:multiLevelType w:val="singleLevel"/>
    <w:tmpl w:val="EA7ACCE4"/>
    <w:lvl w:ilvl="0">
      <w:start w:val="1"/>
      <w:numFmt w:val="decimal"/>
      <w:lvlText w:val="%1."/>
      <w:lvlJc w:val="left"/>
      <w:pPr>
        <w:tabs>
          <w:tab w:val="num" w:pos="1080"/>
        </w:tabs>
        <w:ind w:left="1080" w:hanging="360"/>
      </w:pPr>
    </w:lvl>
  </w:abstractNum>
  <w:abstractNum w:abstractNumId="3">
    <w:nsid w:val="FFFFFF7F"/>
    <w:multiLevelType w:val="singleLevel"/>
    <w:tmpl w:val="6A6E88E8"/>
    <w:lvl w:ilvl="0">
      <w:start w:val="1"/>
      <w:numFmt w:val="decimal"/>
      <w:lvlText w:val="%1."/>
      <w:lvlJc w:val="left"/>
      <w:pPr>
        <w:tabs>
          <w:tab w:val="num" w:pos="720"/>
        </w:tabs>
        <w:ind w:left="720" w:hanging="360"/>
      </w:pPr>
    </w:lvl>
  </w:abstractNum>
  <w:abstractNum w:abstractNumId="4">
    <w:nsid w:val="FFFFFF80"/>
    <w:multiLevelType w:val="singleLevel"/>
    <w:tmpl w:val="93C2271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B4A0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ABEAB5A"/>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99F6E778"/>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C886575A"/>
    <w:lvl w:ilvl="0">
      <w:start w:val="1"/>
      <w:numFmt w:val="decimal"/>
      <w:lvlText w:val="%1."/>
      <w:lvlJc w:val="left"/>
      <w:pPr>
        <w:tabs>
          <w:tab w:val="num" w:pos="360"/>
        </w:tabs>
        <w:ind w:left="360" w:hanging="360"/>
      </w:pPr>
    </w:lvl>
  </w:abstractNum>
  <w:abstractNum w:abstractNumId="9">
    <w:nsid w:val="FFFFFF89"/>
    <w:multiLevelType w:val="singleLevel"/>
    <w:tmpl w:val="3D9276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442578B"/>
    <w:multiLevelType w:val="hybridMultilevel"/>
    <w:tmpl w:val="873EE854"/>
    <w:lvl w:ilvl="0" w:tplc="3146BD0C">
      <w:start w:val="1"/>
      <w:numFmt w:val="bullet"/>
      <w:pStyle w:val="ListBullet4"/>
      <w:lvlText w:val=""/>
      <w:lvlJc w:val="left"/>
      <w:pPr>
        <w:tabs>
          <w:tab w:val="num" w:pos="2880"/>
        </w:tabs>
        <w:ind w:left="2880" w:hanging="720"/>
      </w:pPr>
      <w:rPr>
        <w:rFonts w:ascii="Symbol" w:hAnsi="Symbol" w:hint="default"/>
      </w:rPr>
    </w:lvl>
    <w:lvl w:ilvl="1" w:tplc="30187DAE" w:tentative="1">
      <w:start w:val="1"/>
      <w:numFmt w:val="bullet"/>
      <w:lvlText w:val="o"/>
      <w:lvlJc w:val="left"/>
      <w:pPr>
        <w:tabs>
          <w:tab w:val="num" w:pos="3600"/>
        </w:tabs>
        <w:ind w:left="3600" w:hanging="360"/>
      </w:pPr>
      <w:rPr>
        <w:rFonts w:ascii="Courier New" w:hAnsi="Courier New" w:cs="Courier New" w:hint="default"/>
      </w:rPr>
    </w:lvl>
    <w:lvl w:ilvl="2" w:tplc="19FAE254" w:tentative="1">
      <w:start w:val="1"/>
      <w:numFmt w:val="bullet"/>
      <w:lvlText w:val=""/>
      <w:lvlJc w:val="left"/>
      <w:pPr>
        <w:tabs>
          <w:tab w:val="num" w:pos="4320"/>
        </w:tabs>
        <w:ind w:left="4320" w:hanging="360"/>
      </w:pPr>
      <w:rPr>
        <w:rFonts w:ascii="Wingdings" w:hAnsi="Wingdings" w:hint="default"/>
      </w:rPr>
    </w:lvl>
    <w:lvl w:ilvl="3" w:tplc="6EEE3F7E" w:tentative="1">
      <w:start w:val="1"/>
      <w:numFmt w:val="bullet"/>
      <w:lvlText w:val=""/>
      <w:lvlJc w:val="left"/>
      <w:pPr>
        <w:tabs>
          <w:tab w:val="num" w:pos="5040"/>
        </w:tabs>
        <w:ind w:left="5040" w:hanging="360"/>
      </w:pPr>
      <w:rPr>
        <w:rFonts w:ascii="Symbol" w:hAnsi="Symbol" w:hint="default"/>
      </w:rPr>
    </w:lvl>
    <w:lvl w:ilvl="4" w:tplc="449A534A" w:tentative="1">
      <w:start w:val="1"/>
      <w:numFmt w:val="bullet"/>
      <w:lvlText w:val="o"/>
      <w:lvlJc w:val="left"/>
      <w:pPr>
        <w:tabs>
          <w:tab w:val="num" w:pos="5760"/>
        </w:tabs>
        <w:ind w:left="5760" w:hanging="360"/>
      </w:pPr>
      <w:rPr>
        <w:rFonts w:ascii="Courier New" w:hAnsi="Courier New" w:cs="Courier New" w:hint="default"/>
      </w:rPr>
    </w:lvl>
    <w:lvl w:ilvl="5" w:tplc="C88E7C06" w:tentative="1">
      <w:start w:val="1"/>
      <w:numFmt w:val="bullet"/>
      <w:lvlText w:val=""/>
      <w:lvlJc w:val="left"/>
      <w:pPr>
        <w:tabs>
          <w:tab w:val="num" w:pos="6480"/>
        </w:tabs>
        <w:ind w:left="6480" w:hanging="360"/>
      </w:pPr>
      <w:rPr>
        <w:rFonts w:ascii="Wingdings" w:hAnsi="Wingdings" w:hint="default"/>
      </w:rPr>
    </w:lvl>
    <w:lvl w:ilvl="6" w:tplc="80387376" w:tentative="1">
      <w:start w:val="1"/>
      <w:numFmt w:val="bullet"/>
      <w:lvlText w:val=""/>
      <w:lvlJc w:val="left"/>
      <w:pPr>
        <w:tabs>
          <w:tab w:val="num" w:pos="7200"/>
        </w:tabs>
        <w:ind w:left="7200" w:hanging="360"/>
      </w:pPr>
      <w:rPr>
        <w:rFonts w:ascii="Symbol" w:hAnsi="Symbol" w:hint="default"/>
      </w:rPr>
    </w:lvl>
    <w:lvl w:ilvl="7" w:tplc="F378D9A4" w:tentative="1">
      <w:start w:val="1"/>
      <w:numFmt w:val="bullet"/>
      <w:lvlText w:val="o"/>
      <w:lvlJc w:val="left"/>
      <w:pPr>
        <w:tabs>
          <w:tab w:val="num" w:pos="7920"/>
        </w:tabs>
        <w:ind w:left="7920" w:hanging="360"/>
      </w:pPr>
      <w:rPr>
        <w:rFonts w:ascii="Courier New" w:hAnsi="Courier New" w:cs="Courier New" w:hint="default"/>
      </w:rPr>
    </w:lvl>
    <w:lvl w:ilvl="8" w:tplc="EB3A940E" w:tentative="1">
      <w:start w:val="1"/>
      <w:numFmt w:val="bullet"/>
      <w:lvlText w:val=""/>
      <w:lvlJc w:val="left"/>
      <w:pPr>
        <w:tabs>
          <w:tab w:val="num" w:pos="8640"/>
        </w:tabs>
        <w:ind w:left="8640" w:hanging="360"/>
      </w:pPr>
      <w:rPr>
        <w:rFonts w:ascii="Wingdings" w:hAnsi="Wingdings" w:hint="default"/>
      </w:rPr>
    </w:lvl>
  </w:abstractNum>
  <w:abstractNum w:abstractNumId="11">
    <w:nsid w:val="57947FB3"/>
    <w:multiLevelType w:val="hybridMultilevel"/>
    <w:tmpl w:val="8B70B4A0"/>
    <w:lvl w:ilvl="0" w:tplc="682AA166">
      <w:start w:val="1"/>
      <w:numFmt w:val="bullet"/>
      <w:pStyle w:val="ListBullet5"/>
      <w:lvlText w:val=""/>
      <w:lvlJc w:val="left"/>
      <w:pPr>
        <w:tabs>
          <w:tab w:val="num" w:pos="4320"/>
        </w:tabs>
        <w:ind w:left="4320" w:hanging="720"/>
      </w:pPr>
      <w:rPr>
        <w:rFonts w:ascii="Symbol" w:hAnsi="Symbol" w:hint="default"/>
      </w:rPr>
    </w:lvl>
    <w:lvl w:ilvl="1" w:tplc="2FDA476E" w:tentative="1">
      <w:start w:val="1"/>
      <w:numFmt w:val="bullet"/>
      <w:lvlText w:val="o"/>
      <w:lvlJc w:val="left"/>
      <w:pPr>
        <w:tabs>
          <w:tab w:val="num" w:pos="1440"/>
        </w:tabs>
        <w:ind w:left="1440" w:hanging="360"/>
      </w:pPr>
      <w:rPr>
        <w:rFonts w:ascii="Courier New" w:hAnsi="Courier New" w:cs="Courier New" w:hint="default"/>
      </w:rPr>
    </w:lvl>
    <w:lvl w:ilvl="2" w:tplc="BCDCEC0E" w:tentative="1">
      <w:start w:val="1"/>
      <w:numFmt w:val="bullet"/>
      <w:lvlText w:val=""/>
      <w:lvlJc w:val="left"/>
      <w:pPr>
        <w:tabs>
          <w:tab w:val="num" w:pos="2160"/>
        </w:tabs>
        <w:ind w:left="2160" w:hanging="360"/>
      </w:pPr>
      <w:rPr>
        <w:rFonts w:ascii="Wingdings" w:hAnsi="Wingdings" w:hint="default"/>
      </w:rPr>
    </w:lvl>
    <w:lvl w:ilvl="3" w:tplc="707001D6" w:tentative="1">
      <w:start w:val="1"/>
      <w:numFmt w:val="bullet"/>
      <w:lvlText w:val=""/>
      <w:lvlJc w:val="left"/>
      <w:pPr>
        <w:tabs>
          <w:tab w:val="num" w:pos="2880"/>
        </w:tabs>
        <w:ind w:left="2880" w:hanging="360"/>
      </w:pPr>
      <w:rPr>
        <w:rFonts w:ascii="Symbol" w:hAnsi="Symbol" w:hint="default"/>
      </w:rPr>
    </w:lvl>
    <w:lvl w:ilvl="4" w:tplc="BF5A9728" w:tentative="1">
      <w:start w:val="1"/>
      <w:numFmt w:val="bullet"/>
      <w:lvlText w:val="o"/>
      <w:lvlJc w:val="left"/>
      <w:pPr>
        <w:tabs>
          <w:tab w:val="num" w:pos="3600"/>
        </w:tabs>
        <w:ind w:left="3600" w:hanging="360"/>
      </w:pPr>
      <w:rPr>
        <w:rFonts w:ascii="Courier New" w:hAnsi="Courier New" w:cs="Courier New" w:hint="default"/>
      </w:rPr>
    </w:lvl>
    <w:lvl w:ilvl="5" w:tplc="5E52D474" w:tentative="1">
      <w:start w:val="1"/>
      <w:numFmt w:val="bullet"/>
      <w:lvlText w:val=""/>
      <w:lvlJc w:val="left"/>
      <w:pPr>
        <w:tabs>
          <w:tab w:val="num" w:pos="4320"/>
        </w:tabs>
        <w:ind w:left="4320" w:hanging="360"/>
      </w:pPr>
      <w:rPr>
        <w:rFonts w:ascii="Wingdings" w:hAnsi="Wingdings" w:hint="default"/>
      </w:rPr>
    </w:lvl>
    <w:lvl w:ilvl="6" w:tplc="1642564A" w:tentative="1">
      <w:start w:val="1"/>
      <w:numFmt w:val="bullet"/>
      <w:lvlText w:val=""/>
      <w:lvlJc w:val="left"/>
      <w:pPr>
        <w:tabs>
          <w:tab w:val="num" w:pos="5040"/>
        </w:tabs>
        <w:ind w:left="5040" w:hanging="360"/>
      </w:pPr>
      <w:rPr>
        <w:rFonts w:ascii="Symbol" w:hAnsi="Symbol" w:hint="default"/>
      </w:rPr>
    </w:lvl>
    <w:lvl w:ilvl="7" w:tplc="BA6E9620" w:tentative="1">
      <w:start w:val="1"/>
      <w:numFmt w:val="bullet"/>
      <w:lvlText w:val="o"/>
      <w:lvlJc w:val="left"/>
      <w:pPr>
        <w:tabs>
          <w:tab w:val="num" w:pos="5760"/>
        </w:tabs>
        <w:ind w:left="5760" w:hanging="360"/>
      </w:pPr>
      <w:rPr>
        <w:rFonts w:ascii="Courier New" w:hAnsi="Courier New" w:cs="Courier New" w:hint="default"/>
      </w:rPr>
    </w:lvl>
    <w:lvl w:ilvl="8" w:tplc="F66AE6D8" w:tentative="1">
      <w:start w:val="1"/>
      <w:numFmt w:val="bullet"/>
      <w:lvlText w:val=""/>
      <w:lvlJc w:val="left"/>
      <w:pPr>
        <w:tabs>
          <w:tab w:val="num" w:pos="6480"/>
        </w:tabs>
        <w:ind w:left="6480" w:hanging="360"/>
      </w:pPr>
      <w:rPr>
        <w:rFonts w:ascii="Wingdings" w:hAnsi="Wingdings" w:hint="default"/>
      </w:rPr>
    </w:lvl>
  </w:abstractNum>
  <w:abstractNum w:abstractNumId="12">
    <w:nsid w:val="68B24D0B"/>
    <w:multiLevelType w:val="multilevel"/>
    <w:tmpl w:val="3D9276B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BE"/>
    <w:rsid w:val="00021F51"/>
    <w:rsid w:val="00036CF0"/>
    <w:rsid w:val="0005684B"/>
    <w:rsid w:val="00076621"/>
    <w:rsid w:val="000A4383"/>
    <w:rsid w:val="000A54DA"/>
    <w:rsid w:val="001054CA"/>
    <w:rsid w:val="00126988"/>
    <w:rsid w:val="00176FD3"/>
    <w:rsid w:val="001837F6"/>
    <w:rsid w:val="001C56C6"/>
    <w:rsid w:val="001D01AE"/>
    <w:rsid w:val="001D3441"/>
    <w:rsid w:val="001E66D9"/>
    <w:rsid w:val="001E7BB6"/>
    <w:rsid w:val="001F15B6"/>
    <w:rsid w:val="00212ADC"/>
    <w:rsid w:val="00242296"/>
    <w:rsid w:val="00261A73"/>
    <w:rsid w:val="00294E61"/>
    <w:rsid w:val="002B5DC0"/>
    <w:rsid w:val="002E3B31"/>
    <w:rsid w:val="002F6C07"/>
    <w:rsid w:val="00311853"/>
    <w:rsid w:val="00311F67"/>
    <w:rsid w:val="003211A4"/>
    <w:rsid w:val="00377472"/>
    <w:rsid w:val="0038163B"/>
    <w:rsid w:val="003978D2"/>
    <w:rsid w:val="003B21E1"/>
    <w:rsid w:val="003C6E24"/>
    <w:rsid w:val="003E34E1"/>
    <w:rsid w:val="003E3A91"/>
    <w:rsid w:val="00424A2F"/>
    <w:rsid w:val="00433611"/>
    <w:rsid w:val="00453935"/>
    <w:rsid w:val="00464DCB"/>
    <w:rsid w:val="00474FFD"/>
    <w:rsid w:val="004C470B"/>
    <w:rsid w:val="005466AE"/>
    <w:rsid w:val="005663FF"/>
    <w:rsid w:val="00584B70"/>
    <w:rsid w:val="005A5DE7"/>
    <w:rsid w:val="005B0CFE"/>
    <w:rsid w:val="005C6FB1"/>
    <w:rsid w:val="005E3A2F"/>
    <w:rsid w:val="00616D1F"/>
    <w:rsid w:val="006A0C05"/>
    <w:rsid w:val="006E2513"/>
    <w:rsid w:val="0070260C"/>
    <w:rsid w:val="00763D95"/>
    <w:rsid w:val="007B4F8C"/>
    <w:rsid w:val="007B75A7"/>
    <w:rsid w:val="00835C0A"/>
    <w:rsid w:val="00872583"/>
    <w:rsid w:val="008B30A8"/>
    <w:rsid w:val="008D4D74"/>
    <w:rsid w:val="00917B64"/>
    <w:rsid w:val="00942856"/>
    <w:rsid w:val="00960F7F"/>
    <w:rsid w:val="009A31D1"/>
    <w:rsid w:val="009D103A"/>
    <w:rsid w:val="00A16174"/>
    <w:rsid w:val="00A80BEA"/>
    <w:rsid w:val="00B72C2F"/>
    <w:rsid w:val="00BA15C6"/>
    <w:rsid w:val="00BB2524"/>
    <w:rsid w:val="00BB4D58"/>
    <w:rsid w:val="00BC638B"/>
    <w:rsid w:val="00BF6C0C"/>
    <w:rsid w:val="00C035AB"/>
    <w:rsid w:val="00C54F78"/>
    <w:rsid w:val="00C84057"/>
    <w:rsid w:val="00C87854"/>
    <w:rsid w:val="00D41482"/>
    <w:rsid w:val="00D47685"/>
    <w:rsid w:val="00D54FF9"/>
    <w:rsid w:val="00DB05BE"/>
    <w:rsid w:val="00DE01F6"/>
    <w:rsid w:val="00E46300"/>
    <w:rsid w:val="00E73750"/>
    <w:rsid w:val="00E76174"/>
    <w:rsid w:val="00EC3CFF"/>
    <w:rsid w:val="00EE6872"/>
    <w:rsid w:val="00EF30EB"/>
    <w:rsid w:val="00F02C55"/>
    <w:rsid w:val="00F2680C"/>
    <w:rsid w:val="00F83337"/>
    <w:rsid w:val="00F84643"/>
    <w:rsid w:val="00F965E1"/>
    <w:rsid w:val="00FA5EDA"/>
    <w:rsid w:val="00FB27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99"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AB0"/>
    <w:rPr>
      <w:sz w:val="24"/>
      <w:lang w:val="en-CA"/>
    </w:rPr>
  </w:style>
  <w:style w:type="paragraph" w:styleId="Heading1">
    <w:name w:val="heading 1"/>
    <w:basedOn w:val="BaseParagraph"/>
    <w:next w:val="BodyText"/>
    <w:qFormat/>
    <w:rsid w:val="008D58B7"/>
    <w:pPr>
      <w:keepNext/>
      <w:keepLines/>
      <w:spacing w:before="480"/>
      <w:jc w:val="center"/>
      <w:outlineLvl w:val="0"/>
    </w:pPr>
    <w:rPr>
      <w:b/>
      <w:caps/>
    </w:rPr>
  </w:style>
  <w:style w:type="paragraph" w:styleId="Heading2">
    <w:name w:val="heading 2"/>
    <w:basedOn w:val="BaseParagraph"/>
    <w:next w:val="BodyText"/>
    <w:qFormat/>
    <w:rsid w:val="008D58B7"/>
    <w:pPr>
      <w:keepNext/>
      <w:outlineLvl w:val="1"/>
    </w:pPr>
    <w:rPr>
      <w:b/>
    </w:rPr>
  </w:style>
  <w:style w:type="paragraph" w:styleId="Heading3">
    <w:name w:val="heading 3"/>
    <w:basedOn w:val="BaseParagraph"/>
    <w:next w:val="BodyText"/>
    <w:qFormat/>
    <w:rsid w:val="008D58B7"/>
    <w:pPr>
      <w:keepNext/>
      <w:outlineLvl w:val="2"/>
    </w:pPr>
    <w:rPr>
      <w:b/>
      <w:i/>
    </w:rPr>
  </w:style>
  <w:style w:type="paragraph" w:styleId="Heading4">
    <w:name w:val="heading 4"/>
    <w:basedOn w:val="BaseParagraph"/>
    <w:next w:val="BodyText"/>
    <w:qFormat/>
    <w:rsid w:val="008D58B7"/>
    <w:pPr>
      <w:keepNext/>
      <w:outlineLvl w:val="3"/>
    </w:pPr>
    <w:rPr>
      <w:i/>
    </w:rPr>
  </w:style>
  <w:style w:type="paragraph" w:styleId="Heading5">
    <w:name w:val="heading 5"/>
    <w:basedOn w:val="BaseParagraph"/>
    <w:next w:val="BodyText"/>
    <w:qFormat/>
    <w:rsid w:val="008D58B7"/>
    <w:pPr>
      <w:keepNext/>
      <w:outlineLvl w:val="4"/>
    </w:pPr>
  </w:style>
  <w:style w:type="paragraph" w:styleId="Heading6">
    <w:name w:val="heading 6"/>
    <w:basedOn w:val="BaseParagraph"/>
    <w:next w:val="BodyText"/>
    <w:qFormat/>
    <w:rsid w:val="008D58B7"/>
    <w:pPr>
      <w:keepNext/>
      <w:outlineLvl w:val="5"/>
    </w:pPr>
  </w:style>
  <w:style w:type="paragraph" w:styleId="Heading7">
    <w:name w:val="heading 7"/>
    <w:basedOn w:val="BaseParagraph"/>
    <w:next w:val="BodyText"/>
    <w:qFormat/>
    <w:rsid w:val="008D58B7"/>
    <w:pPr>
      <w:keepNext/>
      <w:outlineLvl w:val="6"/>
    </w:pPr>
  </w:style>
  <w:style w:type="paragraph" w:styleId="Heading8">
    <w:name w:val="heading 8"/>
    <w:basedOn w:val="BaseParagraph"/>
    <w:next w:val="BodyText"/>
    <w:qFormat/>
    <w:rsid w:val="008D58B7"/>
    <w:pPr>
      <w:outlineLvl w:val="7"/>
    </w:pPr>
  </w:style>
  <w:style w:type="paragraph" w:styleId="Heading9">
    <w:name w:val="heading 9"/>
    <w:basedOn w:val="BaseParagraph"/>
    <w:next w:val="BodyText"/>
    <w:qFormat/>
    <w:rsid w:val="008D58B7"/>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Paragraph">
    <w:name w:val="Base Paragraph"/>
    <w:basedOn w:val="Normal"/>
    <w:rsid w:val="008D58B7"/>
    <w:pPr>
      <w:spacing w:before="240"/>
    </w:pPr>
  </w:style>
  <w:style w:type="paragraph" w:customStyle="1" w:styleId="BodyIndent">
    <w:name w:val="Body Indent"/>
    <w:basedOn w:val="BodyText"/>
    <w:rsid w:val="00153D2A"/>
    <w:pPr>
      <w:ind w:firstLine="720"/>
    </w:pPr>
  </w:style>
  <w:style w:type="paragraph" w:styleId="BodyText">
    <w:name w:val="Body Text"/>
    <w:basedOn w:val="Normal"/>
    <w:link w:val="BodyTextChar"/>
    <w:rsid w:val="002209CB"/>
    <w:pPr>
      <w:spacing w:before="240"/>
    </w:pPr>
    <w:rPr>
      <w:sz w:val="22"/>
    </w:rPr>
  </w:style>
  <w:style w:type="paragraph" w:customStyle="1" w:styleId="AttnLine">
    <w:name w:val="Attn Line"/>
    <w:basedOn w:val="BodyText"/>
    <w:rsid w:val="008D58B7"/>
    <w:pPr>
      <w:tabs>
        <w:tab w:val="left" w:pos="1440"/>
      </w:tabs>
    </w:pPr>
  </w:style>
  <w:style w:type="paragraph" w:customStyle="1" w:styleId="BodyText0">
    <w:name w:val="Body Text 0"/>
    <w:basedOn w:val="BodyText"/>
    <w:rsid w:val="008D58B7"/>
    <w:pPr>
      <w:spacing w:before="0"/>
    </w:pPr>
  </w:style>
  <w:style w:type="paragraph" w:customStyle="1" w:styleId="BodyText1">
    <w:name w:val="Body Text 1"/>
    <w:basedOn w:val="BodyText"/>
    <w:rsid w:val="008D58B7"/>
    <w:pPr>
      <w:spacing w:before="480" w:line="360" w:lineRule="auto"/>
    </w:pPr>
  </w:style>
  <w:style w:type="paragraph" w:styleId="BodyText2">
    <w:name w:val="Body Text 2"/>
    <w:basedOn w:val="BodyText"/>
    <w:rsid w:val="008D58B7"/>
    <w:pPr>
      <w:spacing w:line="480" w:lineRule="auto"/>
    </w:pPr>
  </w:style>
  <w:style w:type="paragraph" w:styleId="BodyText3">
    <w:name w:val="Body Text 3"/>
    <w:basedOn w:val="BodyText"/>
    <w:rsid w:val="008D58B7"/>
    <w:pPr>
      <w:spacing w:before="480"/>
    </w:pPr>
  </w:style>
  <w:style w:type="paragraph" w:styleId="Closing">
    <w:name w:val="Closing"/>
    <w:basedOn w:val="BaseParagraph"/>
    <w:rsid w:val="008D58B7"/>
    <w:pPr>
      <w:keepNext/>
      <w:keepLines/>
    </w:pPr>
  </w:style>
  <w:style w:type="paragraph" w:customStyle="1" w:styleId="DeliveryLine">
    <w:name w:val="Delivery Line"/>
    <w:basedOn w:val="BaseParagraph"/>
    <w:next w:val="Normal"/>
    <w:rsid w:val="008D58B7"/>
    <w:pPr>
      <w:jc w:val="right"/>
    </w:pPr>
  </w:style>
  <w:style w:type="paragraph" w:customStyle="1" w:styleId="DirectLine">
    <w:name w:val="Direct Line"/>
    <w:basedOn w:val="BaseParagraph"/>
    <w:next w:val="BodyText"/>
    <w:rsid w:val="008D58B7"/>
    <w:pPr>
      <w:spacing w:before="320"/>
    </w:pPr>
    <w:rPr>
      <w:sz w:val="16"/>
    </w:rPr>
  </w:style>
  <w:style w:type="paragraph" w:customStyle="1" w:styleId="DraftingNotes">
    <w:name w:val="Drafting Notes"/>
    <w:next w:val="BodyText"/>
    <w:rsid w:val="008D58B7"/>
    <w:pPr>
      <w:spacing w:before="240"/>
    </w:pPr>
    <w:rPr>
      <w:rFonts w:ascii="Courier" w:hAnsi="Courier"/>
      <w:b/>
      <w:color w:val="0000FF"/>
      <w:spacing w:val="40"/>
      <w:sz w:val="24"/>
      <w:lang w:val="en-CA"/>
    </w:rPr>
  </w:style>
  <w:style w:type="paragraph" w:styleId="EnvelopeAddress">
    <w:name w:val="envelope address"/>
    <w:basedOn w:val="Normal"/>
    <w:rsid w:val="008D58B7"/>
    <w:pPr>
      <w:framePr w:w="7920" w:h="2728" w:hRule="exact" w:hSpace="180" w:wrap="auto" w:vAnchor="page" w:hAnchor="page" w:xAlign="center" w:y="2445"/>
      <w:ind w:left="2880"/>
    </w:pPr>
  </w:style>
  <w:style w:type="paragraph" w:customStyle="1" w:styleId="FileNo">
    <w:name w:val="File No."/>
    <w:basedOn w:val="BaseParagraph"/>
    <w:next w:val="DirectLine"/>
    <w:rsid w:val="008D58B7"/>
    <w:pPr>
      <w:spacing w:before="0"/>
      <w:jc w:val="right"/>
    </w:pPr>
    <w:rPr>
      <w:sz w:val="20"/>
    </w:rPr>
  </w:style>
  <w:style w:type="paragraph" w:styleId="Footer">
    <w:name w:val="footer"/>
    <w:basedOn w:val="Normal"/>
    <w:rsid w:val="008D58B7"/>
    <w:pPr>
      <w:tabs>
        <w:tab w:val="center" w:pos="4680"/>
        <w:tab w:val="right" w:pos="9360"/>
      </w:tabs>
    </w:pPr>
    <w:rPr>
      <w:sz w:val="16"/>
    </w:rPr>
  </w:style>
  <w:style w:type="paragraph" w:styleId="Header">
    <w:name w:val="header"/>
    <w:basedOn w:val="BaseParagraph"/>
    <w:rsid w:val="008D58B7"/>
    <w:pPr>
      <w:tabs>
        <w:tab w:val="center" w:pos="4680"/>
        <w:tab w:val="right" w:pos="9360"/>
      </w:tabs>
      <w:spacing w:before="0"/>
    </w:pPr>
  </w:style>
  <w:style w:type="character" w:customStyle="1" w:styleId="HiddenText">
    <w:name w:val="Hidden Text"/>
    <w:rsid w:val="008D58B7"/>
    <w:rPr>
      <w:b/>
      <w:vanish/>
      <w:color w:val="FF0000"/>
    </w:rPr>
  </w:style>
  <w:style w:type="paragraph" w:customStyle="1" w:styleId="InsideAddress">
    <w:name w:val="InsideAddress"/>
    <w:basedOn w:val="BaseParagraph"/>
    <w:next w:val="Normal"/>
    <w:rsid w:val="008D58B7"/>
  </w:style>
  <w:style w:type="paragraph" w:styleId="List">
    <w:name w:val="List"/>
    <w:basedOn w:val="BodyText"/>
    <w:rsid w:val="008D58B7"/>
    <w:pPr>
      <w:tabs>
        <w:tab w:val="left" w:pos="1440"/>
      </w:tabs>
    </w:pPr>
  </w:style>
  <w:style w:type="paragraph" w:styleId="List2">
    <w:name w:val="List 2"/>
    <w:basedOn w:val="BodyText"/>
    <w:rsid w:val="008D58B7"/>
    <w:pPr>
      <w:tabs>
        <w:tab w:val="left" w:pos="1440"/>
      </w:tabs>
      <w:ind w:left="720"/>
    </w:pPr>
  </w:style>
  <w:style w:type="paragraph" w:styleId="List3">
    <w:name w:val="List 3"/>
    <w:basedOn w:val="BodyText"/>
    <w:rsid w:val="008D58B7"/>
    <w:pPr>
      <w:tabs>
        <w:tab w:val="left" w:pos="2160"/>
      </w:tabs>
      <w:ind w:left="1440"/>
    </w:pPr>
  </w:style>
  <w:style w:type="paragraph" w:styleId="List4">
    <w:name w:val="List 4"/>
    <w:basedOn w:val="BodyText"/>
    <w:rsid w:val="008D58B7"/>
    <w:pPr>
      <w:tabs>
        <w:tab w:val="left" w:pos="2880"/>
      </w:tabs>
      <w:ind w:left="2160"/>
    </w:pPr>
  </w:style>
  <w:style w:type="paragraph" w:styleId="List5">
    <w:name w:val="List 5"/>
    <w:basedOn w:val="BodyText"/>
    <w:rsid w:val="008D58B7"/>
    <w:pPr>
      <w:tabs>
        <w:tab w:val="left" w:pos="3600"/>
      </w:tabs>
      <w:ind w:left="2880"/>
    </w:pPr>
  </w:style>
  <w:style w:type="paragraph" w:styleId="ListBullet">
    <w:name w:val="List Bullet"/>
    <w:basedOn w:val="Normal"/>
    <w:rsid w:val="008010EE"/>
    <w:pPr>
      <w:numPr>
        <w:numId w:val="10"/>
      </w:numPr>
      <w:tabs>
        <w:tab w:val="clear" w:pos="360"/>
        <w:tab w:val="num" w:pos="720"/>
      </w:tabs>
      <w:spacing w:before="120"/>
      <w:ind w:left="720" w:hanging="720"/>
    </w:pPr>
  </w:style>
  <w:style w:type="paragraph" w:styleId="ListBullet4">
    <w:name w:val="List Bullet 4"/>
    <w:basedOn w:val="BodyText"/>
    <w:rsid w:val="00D566D7"/>
    <w:pPr>
      <w:numPr>
        <w:numId w:val="13"/>
      </w:numPr>
      <w:spacing w:before="120"/>
    </w:pPr>
  </w:style>
  <w:style w:type="paragraph" w:styleId="ListBullet5">
    <w:name w:val="List Bullet 5"/>
    <w:basedOn w:val="BodyText"/>
    <w:rsid w:val="00D566D7"/>
    <w:pPr>
      <w:numPr>
        <w:numId w:val="15"/>
      </w:numPr>
      <w:tabs>
        <w:tab w:val="left" w:pos="3600"/>
      </w:tabs>
      <w:spacing w:before="120"/>
    </w:pPr>
  </w:style>
  <w:style w:type="paragraph" w:styleId="ListContinue">
    <w:name w:val="List Continue"/>
    <w:basedOn w:val="BodyText"/>
    <w:rsid w:val="008D58B7"/>
  </w:style>
  <w:style w:type="paragraph" w:styleId="ListContinue2">
    <w:name w:val="List Continue 2"/>
    <w:basedOn w:val="BodyText"/>
    <w:rsid w:val="008D58B7"/>
  </w:style>
  <w:style w:type="paragraph" w:styleId="ListContinue3">
    <w:name w:val="List Continue 3"/>
    <w:basedOn w:val="BodyText"/>
    <w:rsid w:val="008D58B7"/>
  </w:style>
  <w:style w:type="paragraph" w:styleId="ListContinue4">
    <w:name w:val="List Continue 4"/>
    <w:basedOn w:val="BodyText"/>
    <w:rsid w:val="008D58B7"/>
  </w:style>
  <w:style w:type="paragraph" w:styleId="ListContinue5">
    <w:name w:val="List Continue 5"/>
    <w:basedOn w:val="BodyText"/>
    <w:rsid w:val="008D58B7"/>
  </w:style>
  <w:style w:type="paragraph" w:styleId="ListNumber">
    <w:name w:val="List Number"/>
    <w:basedOn w:val="BodyText"/>
    <w:rsid w:val="008D58B7"/>
  </w:style>
  <w:style w:type="paragraph" w:styleId="ListNumber2">
    <w:name w:val="List Number 2"/>
    <w:basedOn w:val="BodyText"/>
    <w:rsid w:val="008D58B7"/>
  </w:style>
  <w:style w:type="paragraph" w:styleId="ListNumber3">
    <w:name w:val="List Number 3"/>
    <w:basedOn w:val="BodyText"/>
    <w:rsid w:val="008D58B7"/>
  </w:style>
  <w:style w:type="paragraph" w:styleId="ListNumber4">
    <w:name w:val="List Number 4"/>
    <w:basedOn w:val="BodyText"/>
    <w:rsid w:val="008D58B7"/>
  </w:style>
  <w:style w:type="paragraph" w:styleId="ListNumber5">
    <w:name w:val="List Number 5"/>
    <w:basedOn w:val="BodyText"/>
    <w:rsid w:val="008D58B7"/>
  </w:style>
  <w:style w:type="paragraph" w:customStyle="1" w:styleId="ListHeading">
    <w:name w:val="ListHeading"/>
    <w:basedOn w:val="BaseParagraph"/>
    <w:next w:val="List"/>
    <w:rsid w:val="008D58B7"/>
    <w:pPr>
      <w:keepNext/>
      <w:keepLines/>
    </w:pPr>
    <w:rPr>
      <w:b/>
    </w:rPr>
  </w:style>
  <w:style w:type="paragraph" w:customStyle="1" w:styleId="Notes">
    <w:name w:val="Notes"/>
    <w:basedOn w:val="BodyText"/>
    <w:rsid w:val="008D58B7"/>
    <w:pPr>
      <w:spacing w:before="60"/>
      <w:ind w:left="360" w:hanging="360"/>
    </w:pPr>
    <w:rPr>
      <w:sz w:val="18"/>
    </w:rPr>
  </w:style>
  <w:style w:type="character" w:styleId="PageNumber">
    <w:name w:val="page number"/>
    <w:basedOn w:val="DefaultParagraphFont"/>
    <w:rsid w:val="008D58B7"/>
  </w:style>
  <w:style w:type="paragraph" w:customStyle="1" w:styleId="Parties-Abbreviations">
    <w:name w:val="Parties - Abbreviations"/>
    <w:basedOn w:val="BaseParagraph"/>
    <w:next w:val="BodyText"/>
    <w:rsid w:val="008D58B7"/>
    <w:pPr>
      <w:jc w:val="right"/>
    </w:pPr>
  </w:style>
  <w:style w:type="paragraph" w:customStyle="1" w:styleId="Parties-FullNames">
    <w:name w:val="Parties - Full Names"/>
    <w:basedOn w:val="BaseParagraph"/>
    <w:next w:val="Parties-Abbreviations"/>
    <w:rsid w:val="008D58B7"/>
    <w:pPr>
      <w:ind w:left="1440" w:right="1440"/>
    </w:pPr>
  </w:style>
  <w:style w:type="paragraph" w:customStyle="1" w:styleId="PersonalConfl">
    <w:name w:val="Personal&amp;Conf'l"/>
    <w:basedOn w:val="BaseParagraph"/>
    <w:next w:val="InsideAddress"/>
    <w:rsid w:val="008D58B7"/>
    <w:rPr>
      <w:b/>
    </w:rPr>
  </w:style>
  <w:style w:type="paragraph" w:customStyle="1" w:styleId="Quote1">
    <w:name w:val="Quote1"/>
    <w:basedOn w:val="BaseParagraph"/>
    <w:next w:val="BodyText"/>
    <w:rsid w:val="008D58B7"/>
    <w:pPr>
      <w:ind w:left="720" w:right="720"/>
    </w:pPr>
  </w:style>
  <w:style w:type="paragraph" w:customStyle="1" w:styleId="ReLine">
    <w:name w:val="Re: Line"/>
    <w:basedOn w:val="BaseParagraph"/>
    <w:next w:val="BodyText"/>
    <w:rsid w:val="008D58B7"/>
    <w:rPr>
      <w:b/>
    </w:rPr>
  </w:style>
  <w:style w:type="paragraph" w:customStyle="1" w:styleId="SigningIndent">
    <w:name w:val="Signing Indent"/>
    <w:basedOn w:val="BaseParagraph"/>
    <w:next w:val="BodyText"/>
    <w:rsid w:val="008D58B7"/>
    <w:pPr>
      <w:tabs>
        <w:tab w:val="left" w:pos="4608"/>
        <w:tab w:val="left" w:pos="5040"/>
        <w:tab w:val="right" w:pos="9360"/>
      </w:tabs>
      <w:spacing w:before="600"/>
    </w:pPr>
  </w:style>
  <w:style w:type="paragraph" w:customStyle="1" w:styleId="SigningLines-company">
    <w:name w:val="Signing Lines - company"/>
    <w:basedOn w:val="BaseParagraph"/>
    <w:rsid w:val="008D58B7"/>
    <w:pPr>
      <w:tabs>
        <w:tab w:val="left" w:pos="720"/>
        <w:tab w:val="left" w:pos="4320"/>
        <w:tab w:val="left" w:pos="5040"/>
        <w:tab w:val="left" w:pos="9270"/>
      </w:tabs>
      <w:spacing w:before="480"/>
    </w:pPr>
  </w:style>
  <w:style w:type="paragraph" w:customStyle="1" w:styleId="SigningLines-Person">
    <w:name w:val="Signing Lines - Person"/>
    <w:basedOn w:val="BaseParagraph"/>
    <w:rsid w:val="008D58B7"/>
    <w:pPr>
      <w:tabs>
        <w:tab w:val="left" w:pos="4320"/>
        <w:tab w:val="left" w:pos="5040"/>
        <w:tab w:val="left" w:pos="9270"/>
      </w:tabs>
      <w:spacing w:before="480"/>
    </w:pPr>
  </w:style>
  <w:style w:type="paragraph" w:styleId="Title">
    <w:name w:val="Title"/>
    <w:basedOn w:val="BaseParagraph"/>
    <w:next w:val="BodyText"/>
    <w:qFormat/>
    <w:rsid w:val="008D58B7"/>
    <w:pPr>
      <w:keepNext/>
      <w:spacing w:after="120"/>
      <w:jc w:val="center"/>
    </w:pPr>
    <w:rPr>
      <w:b/>
      <w:caps/>
    </w:rPr>
  </w:style>
  <w:style w:type="paragraph" w:styleId="BalloonText">
    <w:name w:val="Balloon Text"/>
    <w:basedOn w:val="Normal"/>
    <w:link w:val="BalloonTextChar"/>
    <w:rsid w:val="0030556F"/>
    <w:rPr>
      <w:rFonts w:ascii="Tahoma" w:hAnsi="Tahoma" w:cs="Tahoma"/>
      <w:sz w:val="16"/>
      <w:szCs w:val="16"/>
    </w:rPr>
  </w:style>
  <w:style w:type="paragraph" w:customStyle="1" w:styleId="xAutoTextLookup">
    <w:name w:val="xAutoText Lookup"/>
    <w:basedOn w:val="BodyText"/>
    <w:rsid w:val="00687731"/>
  </w:style>
  <w:style w:type="paragraph" w:styleId="TOC1">
    <w:name w:val="toc 1"/>
    <w:basedOn w:val="Normal"/>
    <w:next w:val="Normal"/>
    <w:autoRedefine/>
    <w:semiHidden/>
    <w:rsid w:val="00DB61E7"/>
    <w:pPr>
      <w:spacing w:before="120" w:after="120"/>
    </w:pPr>
    <w:rPr>
      <w:b/>
      <w:bCs/>
      <w:caps/>
      <w:sz w:val="20"/>
    </w:rPr>
  </w:style>
  <w:style w:type="paragraph" w:styleId="TOC2">
    <w:name w:val="toc 2"/>
    <w:basedOn w:val="Normal"/>
    <w:next w:val="Normal"/>
    <w:autoRedefine/>
    <w:semiHidden/>
    <w:rsid w:val="00DB61E7"/>
    <w:pPr>
      <w:ind w:left="240"/>
    </w:pPr>
    <w:rPr>
      <w:smallCaps/>
      <w:sz w:val="20"/>
    </w:rPr>
  </w:style>
  <w:style w:type="paragraph" w:styleId="TOC3">
    <w:name w:val="toc 3"/>
    <w:basedOn w:val="Normal"/>
    <w:next w:val="Normal"/>
    <w:autoRedefine/>
    <w:semiHidden/>
    <w:rsid w:val="00DB61E7"/>
    <w:pPr>
      <w:ind w:left="480"/>
    </w:pPr>
    <w:rPr>
      <w:i/>
      <w:iCs/>
      <w:sz w:val="20"/>
    </w:rPr>
  </w:style>
  <w:style w:type="paragraph" w:styleId="TOC4">
    <w:name w:val="toc 4"/>
    <w:basedOn w:val="Normal"/>
    <w:next w:val="Normal"/>
    <w:autoRedefine/>
    <w:semiHidden/>
    <w:rsid w:val="00DB61E7"/>
    <w:pPr>
      <w:ind w:left="720"/>
    </w:pPr>
    <w:rPr>
      <w:sz w:val="18"/>
      <w:szCs w:val="18"/>
    </w:rPr>
  </w:style>
  <w:style w:type="paragraph" w:styleId="TOC5">
    <w:name w:val="toc 5"/>
    <w:basedOn w:val="Normal"/>
    <w:next w:val="Normal"/>
    <w:autoRedefine/>
    <w:semiHidden/>
    <w:rsid w:val="00DB61E7"/>
    <w:pPr>
      <w:ind w:left="960"/>
    </w:pPr>
    <w:rPr>
      <w:sz w:val="18"/>
      <w:szCs w:val="18"/>
    </w:rPr>
  </w:style>
  <w:style w:type="paragraph" w:styleId="TOC6">
    <w:name w:val="toc 6"/>
    <w:basedOn w:val="Normal"/>
    <w:next w:val="Normal"/>
    <w:autoRedefine/>
    <w:semiHidden/>
    <w:rsid w:val="00DB61E7"/>
    <w:pPr>
      <w:ind w:left="1200"/>
    </w:pPr>
    <w:rPr>
      <w:sz w:val="18"/>
      <w:szCs w:val="18"/>
    </w:rPr>
  </w:style>
  <w:style w:type="paragraph" w:styleId="TOC7">
    <w:name w:val="toc 7"/>
    <w:basedOn w:val="Normal"/>
    <w:next w:val="Normal"/>
    <w:autoRedefine/>
    <w:semiHidden/>
    <w:rsid w:val="00DB61E7"/>
    <w:pPr>
      <w:ind w:left="1440"/>
    </w:pPr>
    <w:rPr>
      <w:sz w:val="18"/>
      <w:szCs w:val="18"/>
    </w:rPr>
  </w:style>
  <w:style w:type="paragraph" w:styleId="TOC8">
    <w:name w:val="toc 8"/>
    <w:basedOn w:val="Normal"/>
    <w:next w:val="Normal"/>
    <w:autoRedefine/>
    <w:semiHidden/>
    <w:rsid w:val="00DB61E7"/>
    <w:pPr>
      <w:ind w:left="1680"/>
    </w:pPr>
    <w:rPr>
      <w:sz w:val="18"/>
      <w:szCs w:val="18"/>
    </w:rPr>
  </w:style>
  <w:style w:type="paragraph" w:styleId="TOC9">
    <w:name w:val="toc 9"/>
    <w:basedOn w:val="Normal"/>
    <w:next w:val="Normal"/>
    <w:autoRedefine/>
    <w:semiHidden/>
    <w:rsid w:val="00DB61E7"/>
    <w:pPr>
      <w:ind w:left="1920"/>
    </w:pPr>
    <w:rPr>
      <w:sz w:val="18"/>
      <w:szCs w:val="18"/>
    </w:rPr>
  </w:style>
  <w:style w:type="character" w:styleId="Hyperlink">
    <w:name w:val="Hyperlink"/>
    <w:rsid w:val="00630AB0"/>
    <w:rPr>
      <w:color w:val="0000FF"/>
      <w:u w:val="single"/>
    </w:rPr>
  </w:style>
  <w:style w:type="paragraph" w:styleId="ListBullet2">
    <w:name w:val="List Bullet 2"/>
    <w:basedOn w:val="Normal"/>
    <w:rsid w:val="00D566D7"/>
    <w:pPr>
      <w:numPr>
        <w:numId w:val="11"/>
      </w:numPr>
      <w:spacing w:before="120"/>
    </w:pPr>
  </w:style>
  <w:style w:type="paragraph" w:styleId="ListBullet3">
    <w:name w:val="List Bullet 3"/>
    <w:basedOn w:val="Normal"/>
    <w:rsid w:val="00D566D7"/>
    <w:pPr>
      <w:numPr>
        <w:numId w:val="12"/>
      </w:numPr>
      <w:spacing w:before="120"/>
    </w:pPr>
  </w:style>
  <w:style w:type="paragraph" w:customStyle="1" w:styleId="TableText">
    <w:name w:val="Table Text"/>
    <w:basedOn w:val="BodyText"/>
    <w:rsid w:val="008102EC"/>
  </w:style>
  <w:style w:type="character" w:styleId="Strong">
    <w:name w:val="Strong"/>
    <w:qFormat/>
    <w:rsid w:val="00630AB0"/>
    <w:rPr>
      <w:rFonts w:cs="Times New Roman"/>
      <w:b/>
      <w:bCs/>
    </w:rPr>
  </w:style>
  <w:style w:type="character" w:styleId="Emphasis">
    <w:name w:val="Emphasis"/>
    <w:uiPriority w:val="99"/>
    <w:qFormat/>
    <w:rsid w:val="00630AB0"/>
    <w:rPr>
      <w:rFonts w:cs="Times New Roman"/>
      <w:i/>
      <w:iCs/>
    </w:rPr>
  </w:style>
  <w:style w:type="paragraph" w:styleId="NormalWeb">
    <w:name w:val="Normal (Web)"/>
    <w:basedOn w:val="Normal"/>
    <w:uiPriority w:val="99"/>
    <w:rsid w:val="00630AB0"/>
    <w:pPr>
      <w:spacing w:before="100" w:beforeAutospacing="1" w:after="100" w:afterAutospacing="1"/>
    </w:pPr>
    <w:rPr>
      <w:color w:val="000000"/>
      <w:szCs w:val="24"/>
      <w:lang w:eastAsia="en-CA"/>
    </w:rPr>
  </w:style>
  <w:style w:type="character" w:customStyle="1" w:styleId="BalloonTextChar">
    <w:name w:val="Balloon Text Char"/>
    <w:link w:val="BalloonText"/>
    <w:rsid w:val="0030556F"/>
    <w:rPr>
      <w:rFonts w:ascii="Tahoma" w:hAnsi="Tahoma" w:cs="Tahoma"/>
      <w:sz w:val="16"/>
      <w:szCs w:val="16"/>
      <w:lang w:val="en-CA"/>
    </w:rPr>
  </w:style>
  <w:style w:type="character" w:styleId="CommentReference">
    <w:name w:val="annotation reference"/>
    <w:basedOn w:val="DefaultParagraphFont"/>
    <w:rsid w:val="00B804F4"/>
    <w:rPr>
      <w:sz w:val="16"/>
      <w:szCs w:val="16"/>
    </w:rPr>
  </w:style>
  <w:style w:type="paragraph" w:styleId="CommentText">
    <w:name w:val="annotation text"/>
    <w:basedOn w:val="Normal"/>
    <w:link w:val="CommentTextChar"/>
    <w:rsid w:val="00B804F4"/>
    <w:rPr>
      <w:sz w:val="20"/>
    </w:rPr>
  </w:style>
  <w:style w:type="character" w:customStyle="1" w:styleId="CommentTextChar">
    <w:name w:val="Comment Text Char"/>
    <w:basedOn w:val="DefaultParagraphFont"/>
    <w:link w:val="CommentText"/>
    <w:rsid w:val="00B804F4"/>
    <w:rPr>
      <w:lang w:val="en-CA"/>
    </w:rPr>
  </w:style>
  <w:style w:type="paragraph" w:styleId="CommentSubject">
    <w:name w:val="annotation subject"/>
    <w:basedOn w:val="CommentText"/>
    <w:next w:val="CommentText"/>
    <w:link w:val="CommentSubjectChar"/>
    <w:rsid w:val="00B804F4"/>
    <w:rPr>
      <w:b/>
      <w:bCs/>
    </w:rPr>
  </w:style>
  <w:style w:type="character" w:customStyle="1" w:styleId="CommentSubjectChar">
    <w:name w:val="Comment Subject Char"/>
    <w:basedOn w:val="CommentTextChar"/>
    <w:link w:val="CommentSubject"/>
    <w:rsid w:val="00B804F4"/>
    <w:rPr>
      <w:b/>
      <w:bCs/>
      <w:lang w:val="en-CA"/>
    </w:rPr>
  </w:style>
  <w:style w:type="character" w:customStyle="1" w:styleId="BodyTextChar">
    <w:name w:val="Body Text Char"/>
    <w:basedOn w:val="DefaultParagraphFont"/>
    <w:link w:val="BodyText"/>
    <w:rsid w:val="00BD2C45"/>
    <w:rPr>
      <w:sz w:val="22"/>
      <w:lang w:val="en-CA"/>
    </w:rPr>
  </w:style>
  <w:style w:type="character" w:customStyle="1" w:styleId="EasyID">
    <w:name w:val="EasyID"/>
    <w:basedOn w:val="DefaultParagraphFont"/>
    <w:rsid w:val="0099765E"/>
    <w:rPr>
      <w:rFonts w:ascii="Arial" w:hAnsi="Arial" w:cs="Arial"/>
      <w:b w:val="0"/>
      <w:bCs w:val="0"/>
      <w:sz w:val="14"/>
      <w:lang w:val="en-US" w:eastAsia="en-US" w:bidi="ar-SA"/>
    </w:rPr>
  </w:style>
  <w:style w:type="character" w:customStyle="1" w:styleId="Bullets">
    <w:name w:val="Bullets"/>
    <w:rsid w:val="005466AE"/>
    <w:rPr>
      <w:rFonts w:ascii="OpenSymbol" w:eastAsia="OpenSymbol" w:hAnsi="OpenSymbol" w:cs="OpenSymbol"/>
    </w:rPr>
  </w:style>
  <w:style w:type="character" w:customStyle="1" w:styleId="NoSpacingChar">
    <w:name w:val="No Spacing Char"/>
    <w:basedOn w:val="DefaultParagraphFont"/>
    <w:link w:val="NoSpacing"/>
    <w:locked/>
    <w:rsid w:val="005B0CFE"/>
    <w:rPr>
      <w:rFonts w:ascii="Trebuchet MS" w:hAnsi="Trebuchet MS"/>
    </w:rPr>
  </w:style>
  <w:style w:type="paragraph" w:styleId="NoSpacing">
    <w:name w:val="No Spacing"/>
    <w:basedOn w:val="Normal"/>
    <w:link w:val="NoSpacingChar"/>
    <w:qFormat/>
    <w:rsid w:val="005B0CFE"/>
    <w:rPr>
      <w:rFonts w:ascii="Trebuchet MS" w:hAnsi="Trebuchet MS"/>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99"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AB0"/>
    <w:rPr>
      <w:sz w:val="24"/>
      <w:lang w:val="en-CA"/>
    </w:rPr>
  </w:style>
  <w:style w:type="paragraph" w:styleId="Heading1">
    <w:name w:val="heading 1"/>
    <w:basedOn w:val="BaseParagraph"/>
    <w:next w:val="BodyText"/>
    <w:qFormat/>
    <w:rsid w:val="008D58B7"/>
    <w:pPr>
      <w:keepNext/>
      <w:keepLines/>
      <w:spacing w:before="480"/>
      <w:jc w:val="center"/>
      <w:outlineLvl w:val="0"/>
    </w:pPr>
    <w:rPr>
      <w:b/>
      <w:caps/>
    </w:rPr>
  </w:style>
  <w:style w:type="paragraph" w:styleId="Heading2">
    <w:name w:val="heading 2"/>
    <w:basedOn w:val="BaseParagraph"/>
    <w:next w:val="BodyText"/>
    <w:qFormat/>
    <w:rsid w:val="008D58B7"/>
    <w:pPr>
      <w:keepNext/>
      <w:outlineLvl w:val="1"/>
    </w:pPr>
    <w:rPr>
      <w:b/>
    </w:rPr>
  </w:style>
  <w:style w:type="paragraph" w:styleId="Heading3">
    <w:name w:val="heading 3"/>
    <w:basedOn w:val="BaseParagraph"/>
    <w:next w:val="BodyText"/>
    <w:qFormat/>
    <w:rsid w:val="008D58B7"/>
    <w:pPr>
      <w:keepNext/>
      <w:outlineLvl w:val="2"/>
    </w:pPr>
    <w:rPr>
      <w:b/>
      <w:i/>
    </w:rPr>
  </w:style>
  <w:style w:type="paragraph" w:styleId="Heading4">
    <w:name w:val="heading 4"/>
    <w:basedOn w:val="BaseParagraph"/>
    <w:next w:val="BodyText"/>
    <w:qFormat/>
    <w:rsid w:val="008D58B7"/>
    <w:pPr>
      <w:keepNext/>
      <w:outlineLvl w:val="3"/>
    </w:pPr>
    <w:rPr>
      <w:i/>
    </w:rPr>
  </w:style>
  <w:style w:type="paragraph" w:styleId="Heading5">
    <w:name w:val="heading 5"/>
    <w:basedOn w:val="BaseParagraph"/>
    <w:next w:val="BodyText"/>
    <w:qFormat/>
    <w:rsid w:val="008D58B7"/>
    <w:pPr>
      <w:keepNext/>
      <w:outlineLvl w:val="4"/>
    </w:pPr>
  </w:style>
  <w:style w:type="paragraph" w:styleId="Heading6">
    <w:name w:val="heading 6"/>
    <w:basedOn w:val="BaseParagraph"/>
    <w:next w:val="BodyText"/>
    <w:qFormat/>
    <w:rsid w:val="008D58B7"/>
    <w:pPr>
      <w:keepNext/>
      <w:outlineLvl w:val="5"/>
    </w:pPr>
  </w:style>
  <w:style w:type="paragraph" w:styleId="Heading7">
    <w:name w:val="heading 7"/>
    <w:basedOn w:val="BaseParagraph"/>
    <w:next w:val="BodyText"/>
    <w:qFormat/>
    <w:rsid w:val="008D58B7"/>
    <w:pPr>
      <w:keepNext/>
      <w:outlineLvl w:val="6"/>
    </w:pPr>
  </w:style>
  <w:style w:type="paragraph" w:styleId="Heading8">
    <w:name w:val="heading 8"/>
    <w:basedOn w:val="BaseParagraph"/>
    <w:next w:val="BodyText"/>
    <w:qFormat/>
    <w:rsid w:val="008D58B7"/>
    <w:pPr>
      <w:outlineLvl w:val="7"/>
    </w:pPr>
  </w:style>
  <w:style w:type="paragraph" w:styleId="Heading9">
    <w:name w:val="heading 9"/>
    <w:basedOn w:val="BaseParagraph"/>
    <w:next w:val="BodyText"/>
    <w:qFormat/>
    <w:rsid w:val="008D58B7"/>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Paragraph">
    <w:name w:val="Base Paragraph"/>
    <w:basedOn w:val="Normal"/>
    <w:rsid w:val="008D58B7"/>
    <w:pPr>
      <w:spacing w:before="240"/>
    </w:pPr>
  </w:style>
  <w:style w:type="paragraph" w:customStyle="1" w:styleId="BodyIndent">
    <w:name w:val="Body Indent"/>
    <w:basedOn w:val="BodyText"/>
    <w:rsid w:val="00153D2A"/>
    <w:pPr>
      <w:ind w:firstLine="720"/>
    </w:pPr>
  </w:style>
  <w:style w:type="paragraph" w:styleId="BodyText">
    <w:name w:val="Body Text"/>
    <w:basedOn w:val="Normal"/>
    <w:link w:val="BodyTextChar"/>
    <w:rsid w:val="002209CB"/>
    <w:pPr>
      <w:spacing w:before="240"/>
    </w:pPr>
    <w:rPr>
      <w:sz w:val="22"/>
    </w:rPr>
  </w:style>
  <w:style w:type="paragraph" w:customStyle="1" w:styleId="AttnLine">
    <w:name w:val="Attn Line"/>
    <w:basedOn w:val="BodyText"/>
    <w:rsid w:val="008D58B7"/>
    <w:pPr>
      <w:tabs>
        <w:tab w:val="left" w:pos="1440"/>
      </w:tabs>
    </w:pPr>
  </w:style>
  <w:style w:type="paragraph" w:customStyle="1" w:styleId="BodyText0">
    <w:name w:val="Body Text 0"/>
    <w:basedOn w:val="BodyText"/>
    <w:rsid w:val="008D58B7"/>
    <w:pPr>
      <w:spacing w:before="0"/>
    </w:pPr>
  </w:style>
  <w:style w:type="paragraph" w:customStyle="1" w:styleId="BodyText1">
    <w:name w:val="Body Text 1"/>
    <w:basedOn w:val="BodyText"/>
    <w:rsid w:val="008D58B7"/>
    <w:pPr>
      <w:spacing w:before="480" w:line="360" w:lineRule="auto"/>
    </w:pPr>
  </w:style>
  <w:style w:type="paragraph" w:styleId="BodyText2">
    <w:name w:val="Body Text 2"/>
    <w:basedOn w:val="BodyText"/>
    <w:rsid w:val="008D58B7"/>
    <w:pPr>
      <w:spacing w:line="480" w:lineRule="auto"/>
    </w:pPr>
  </w:style>
  <w:style w:type="paragraph" w:styleId="BodyText3">
    <w:name w:val="Body Text 3"/>
    <w:basedOn w:val="BodyText"/>
    <w:rsid w:val="008D58B7"/>
    <w:pPr>
      <w:spacing w:before="480"/>
    </w:pPr>
  </w:style>
  <w:style w:type="paragraph" w:styleId="Closing">
    <w:name w:val="Closing"/>
    <w:basedOn w:val="BaseParagraph"/>
    <w:rsid w:val="008D58B7"/>
    <w:pPr>
      <w:keepNext/>
      <w:keepLines/>
    </w:pPr>
  </w:style>
  <w:style w:type="paragraph" w:customStyle="1" w:styleId="DeliveryLine">
    <w:name w:val="Delivery Line"/>
    <w:basedOn w:val="BaseParagraph"/>
    <w:next w:val="Normal"/>
    <w:rsid w:val="008D58B7"/>
    <w:pPr>
      <w:jc w:val="right"/>
    </w:pPr>
  </w:style>
  <w:style w:type="paragraph" w:customStyle="1" w:styleId="DirectLine">
    <w:name w:val="Direct Line"/>
    <w:basedOn w:val="BaseParagraph"/>
    <w:next w:val="BodyText"/>
    <w:rsid w:val="008D58B7"/>
    <w:pPr>
      <w:spacing w:before="320"/>
    </w:pPr>
    <w:rPr>
      <w:sz w:val="16"/>
    </w:rPr>
  </w:style>
  <w:style w:type="paragraph" w:customStyle="1" w:styleId="DraftingNotes">
    <w:name w:val="Drafting Notes"/>
    <w:next w:val="BodyText"/>
    <w:rsid w:val="008D58B7"/>
    <w:pPr>
      <w:spacing w:before="240"/>
    </w:pPr>
    <w:rPr>
      <w:rFonts w:ascii="Courier" w:hAnsi="Courier"/>
      <w:b/>
      <w:color w:val="0000FF"/>
      <w:spacing w:val="40"/>
      <w:sz w:val="24"/>
      <w:lang w:val="en-CA"/>
    </w:rPr>
  </w:style>
  <w:style w:type="paragraph" w:styleId="EnvelopeAddress">
    <w:name w:val="envelope address"/>
    <w:basedOn w:val="Normal"/>
    <w:rsid w:val="008D58B7"/>
    <w:pPr>
      <w:framePr w:w="7920" w:h="2728" w:hRule="exact" w:hSpace="180" w:wrap="auto" w:vAnchor="page" w:hAnchor="page" w:xAlign="center" w:y="2445"/>
      <w:ind w:left="2880"/>
    </w:pPr>
  </w:style>
  <w:style w:type="paragraph" w:customStyle="1" w:styleId="FileNo">
    <w:name w:val="File No."/>
    <w:basedOn w:val="BaseParagraph"/>
    <w:next w:val="DirectLine"/>
    <w:rsid w:val="008D58B7"/>
    <w:pPr>
      <w:spacing w:before="0"/>
      <w:jc w:val="right"/>
    </w:pPr>
    <w:rPr>
      <w:sz w:val="20"/>
    </w:rPr>
  </w:style>
  <w:style w:type="paragraph" w:styleId="Footer">
    <w:name w:val="footer"/>
    <w:basedOn w:val="Normal"/>
    <w:rsid w:val="008D58B7"/>
    <w:pPr>
      <w:tabs>
        <w:tab w:val="center" w:pos="4680"/>
        <w:tab w:val="right" w:pos="9360"/>
      </w:tabs>
    </w:pPr>
    <w:rPr>
      <w:sz w:val="16"/>
    </w:rPr>
  </w:style>
  <w:style w:type="paragraph" w:styleId="Header">
    <w:name w:val="header"/>
    <w:basedOn w:val="BaseParagraph"/>
    <w:rsid w:val="008D58B7"/>
    <w:pPr>
      <w:tabs>
        <w:tab w:val="center" w:pos="4680"/>
        <w:tab w:val="right" w:pos="9360"/>
      </w:tabs>
      <w:spacing w:before="0"/>
    </w:pPr>
  </w:style>
  <w:style w:type="character" w:customStyle="1" w:styleId="HiddenText">
    <w:name w:val="Hidden Text"/>
    <w:rsid w:val="008D58B7"/>
    <w:rPr>
      <w:b/>
      <w:vanish/>
      <w:color w:val="FF0000"/>
    </w:rPr>
  </w:style>
  <w:style w:type="paragraph" w:customStyle="1" w:styleId="InsideAddress">
    <w:name w:val="InsideAddress"/>
    <w:basedOn w:val="BaseParagraph"/>
    <w:next w:val="Normal"/>
    <w:rsid w:val="008D58B7"/>
  </w:style>
  <w:style w:type="paragraph" w:styleId="List">
    <w:name w:val="List"/>
    <w:basedOn w:val="BodyText"/>
    <w:rsid w:val="008D58B7"/>
    <w:pPr>
      <w:tabs>
        <w:tab w:val="left" w:pos="1440"/>
      </w:tabs>
    </w:pPr>
  </w:style>
  <w:style w:type="paragraph" w:styleId="List2">
    <w:name w:val="List 2"/>
    <w:basedOn w:val="BodyText"/>
    <w:rsid w:val="008D58B7"/>
    <w:pPr>
      <w:tabs>
        <w:tab w:val="left" w:pos="1440"/>
      </w:tabs>
      <w:ind w:left="720"/>
    </w:pPr>
  </w:style>
  <w:style w:type="paragraph" w:styleId="List3">
    <w:name w:val="List 3"/>
    <w:basedOn w:val="BodyText"/>
    <w:rsid w:val="008D58B7"/>
    <w:pPr>
      <w:tabs>
        <w:tab w:val="left" w:pos="2160"/>
      </w:tabs>
      <w:ind w:left="1440"/>
    </w:pPr>
  </w:style>
  <w:style w:type="paragraph" w:styleId="List4">
    <w:name w:val="List 4"/>
    <w:basedOn w:val="BodyText"/>
    <w:rsid w:val="008D58B7"/>
    <w:pPr>
      <w:tabs>
        <w:tab w:val="left" w:pos="2880"/>
      </w:tabs>
      <w:ind w:left="2160"/>
    </w:pPr>
  </w:style>
  <w:style w:type="paragraph" w:styleId="List5">
    <w:name w:val="List 5"/>
    <w:basedOn w:val="BodyText"/>
    <w:rsid w:val="008D58B7"/>
    <w:pPr>
      <w:tabs>
        <w:tab w:val="left" w:pos="3600"/>
      </w:tabs>
      <w:ind w:left="2880"/>
    </w:pPr>
  </w:style>
  <w:style w:type="paragraph" w:styleId="ListBullet">
    <w:name w:val="List Bullet"/>
    <w:basedOn w:val="Normal"/>
    <w:rsid w:val="008010EE"/>
    <w:pPr>
      <w:numPr>
        <w:numId w:val="10"/>
      </w:numPr>
      <w:tabs>
        <w:tab w:val="clear" w:pos="360"/>
        <w:tab w:val="num" w:pos="720"/>
      </w:tabs>
      <w:spacing w:before="120"/>
      <w:ind w:left="720" w:hanging="720"/>
    </w:pPr>
  </w:style>
  <w:style w:type="paragraph" w:styleId="ListBullet4">
    <w:name w:val="List Bullet 4"/>
    <w:basedOn w:val="BodyText"/>
    <w:rsid w:val="00D566D7"/>
    <w:pPr>
      <w:numPr>
        <w:numId w:val="13"/>
      </w:numPr>
      <w:spacing w:before="120"/>
    </w:pPr>
  </w:style>
  <w:style w:type="paragraph" w:styleId="ListBullet5">
    <w:name w:val="List Bullet 5"/>
    <w:basedOn w:val="BodyText"/>
    <w:rsid w:val="00D566D7"/>
    <w:pPr>
      <w:numPr>
        <w:numId w:val="15"/>
      </w:numPr>
      <w:tabs>
        <w:tab w:val="left" w:pos="3600"/>
      </w:tabs>
      <w:spacing w:before="120"/>
    </w:pPr>
  </w:style>
  <w:style w:type="paragraph" w:styleId="ListContinue">
    <w:name w:val="List Continue"/>
    <w:basedOn w:val="BodyText"/>
    <w:rsid w:val="008D58B7"/>
  </w:style>
  <w:style w:type="paragraph" w:styleId="ListContinue2">
    <w:name w:val="List Continue 2"/>
    <w:basedOn w:val="BodyText"/>
    <w:rsid w:val="008D58B7"/>
  </w:style>
  <w:style w:type="paragraph" w:styleId="ListContinue3">
    <w:name w:val="List Continue 3"/>
    <w:basedOn w:val="BodyText"/>
    <w:rsid w:val="008D58B7"/>
  </w:style>
  <w:style w:type="paragraph" w:styleId="ListContinue4">
    <w:name w:val="List Continue 4"/>
    <w:basedOn w:val="BodyText"/>
    <w:rsid w:val="008D58B7"/>
  </w:style>
  <w:style w:type="paragraph" w:styleId="ListContinue5">
    <w:name w:val="List Continue 5"/>
    <w:basedOn w:val="BodyText"/>
    <w:rsid w:val="008D58B7"/>
  </w:style>
  <w:style w:type="paragraph" w:styleId="ListNumber">
    <w:name w:val="List Number"/>
    <w:basedOn w:val="BodyText"/>
    <w:rsid w:val="008D58B7"/>
  </w:style>
  <w:style w:type="paragraph" w:styleId="ListNumber2">
    <w:name w:val="List Number 2"/>
    <w:basedOn w:val="BodyText"/>
    <w:rsid w:val="008D58B7"/>
  </w:style>
  <w:style w:type="paragraph" w:styleId="ListNumber3">
    <w:name w:val="List Number 3"/>
    <w:basedOn w:val="BodyText"/>
    <w:rsid w:val="008D58B7"/>
  </w:style>
  <w:style w:type="paragraph" w:styleId="ListNumber4">
    <w:name w:val="List Number 4"/>
    <w:basedOn w:val="BodyText"/>
    <w:rsid w:val="008D58B7"/>
  </w:style>
  <w:style w:type="paragraph" w:styleId="ListNumber5">
    <w:name w:val="List Number 5"/>
    <w:basedOn w:val="BodyText"/>
    <w:rsid w:val="008D58B7"/>
  </w:style>
  <w:style w:type="paragraph" w:customStyle="1" w:styleId="ListHeading">
    <w:name w:val="ListHeading"/>
    <w:basedOn w:val="BaseParagraph"/>
    <w:next w:val="List"/>
    <w:rsid w:val="008D58B7"/>
    <w:pPr>
      <w:keepNext/>
      <w:keepLines/>
    </w:pPr>
    <w:rPr>
      <w:b/>
    </w:rPr>
  </w:style>
  <w:style w:type="paragraph" w:customStyle="1" w:styleId="Notes">
    <w:name w:val="Notes"/>
    <w:basedOn w:val="BodyText"/>
    <w:rsid w:val="008D58B7"/>
    <w:pPr>
      <w:spacing w:before="60"/>
      <w:ind w:left="360" w:hanging="360"/>
    </w:pPr>
    <w:rPr>
      <w:sz w:val="18"/>
    </w:rPr>
  </w:style>
  <w:style w:type="character" w:styleId="PageNumber">
    <w:name w:val="page number"/>
    <w:basedOn w:val="DefaultParagraphFont"/>
    <w:rsid w:val="008D58B7"/>
  </w:style>
  <w:style w:type="paragraph" w:customStyle="1" w:styleId="Parties-Abbreviations">
    <w:name w:val="Parties - Abbreviations"/>
    <w:basedOn w:val="BaseParagraph"/>
    <w:next w:val="BodyText"/>
    <w:rsid w:val="008D58B7"/>
    <w:pPr>
      <w:jc w:val="right"/>
    </w:pPr>
  </w:style>
  <w:style w:type="paragraph" w:customStyle="1" w:styleId="Parties-FullNames">
    <w:name w:val="Parties - Full Names"/>
    <w:basedOn w:val="BaseParagraph"/>
    <w:next w:val="Parties-Abbreviations"/>
    <w:rsid w:val="008D58B7"/>
    <w:pPr>
      <w:ind w:left="1440" w:right="1440"/>
    </w:pPr>
  </w:style>
  <w:style w:type="paragraph" w:customStyle="1" w:styleId="PersonalConfl">
    <w:name w:val="Personal&amp;Conf'l"/>
    <w:basedOn w:val="BaseParagraph"/>
    <w:next w:val="InsideAddress"/>
    <w:rsid w:val="008D58B7"/>
    <w:rPr>
      <w:b/>
    </w:rPr>
  </w:style>
  <w:style w:type="paragraph" w:customStyle="1" w:styleId="Quote1">
    <w:name w:val="Quote1"/>
    <w:basedOn w:val="BaseParagraph"/>
    <w:next w:val="BodyText"/>
    <w:rsid w:val="008D58B7"/>
    <w:pPr>
      <w:ind w:left="720" w:right="720"/>
    </w:pPr>
  </w:style>
  <w:style w:type="paragraph" w:customStyle="1" w:styleId="ReLine">
    <w:name w:val="Re: Line"/>
    <w:basedOn w:val="BaseParagraph"/>
    <w:next w:val="BodyText"/>
    <w:rsid w:val="008D58B7"/>
    <w:rPr>
      <w:b/>
    </w:rPr>
  </w:style>
  <w:style w:type="paragraph" w:customStyle="1" w:styleId="SigningIndent">
    <w:name w:val="Signing Indent"/>
    <w:basedOn w:val="BaseParagraph"/>
    <w:next w:val="BodyText"/>
    <w:rsid w:val="008D58B7"/>
    <w:pPr>
      <w:tabs>
        <w:tab w:val="left" w:pos="4608"/>
        <w:tab w:val="left" w:pos="5040"/>
        <w:tab w:val="right" w:pos="9360"/>
      </w:tabs>
      <w:spacing w:before="600"/>
    </w:pPr>
  </w:style>
  <w:style w:type="paragraph" w:customStyle="1" w:styleId="SigningLines-company">
    <w:name w:val="Signing Lines - company"/>
    <w:basedOn w:val="BaseParagraph"/>
    <w:rsid w:val="008D58B7"/>
    <w:pPr>
      <w:tabs>
        <w:tab w:val="left" w:pos="720"/>
        <w:tab w:val="left" w:pos="4320"/>
        <w:tab w:val="left" w:pos="5040"/>
        <w:tab w:val="left" w:pos="9270"/>
      </w:tabs>
      <w:spacing w:before="480"/>
    </w:pPr>
  </w:style>
  <w:style w:type="paragraph" w:customStyle="1" w:styleId="SigningLines-Person">
    <w:name w:val="Signing Lines - Person"/>
    <w:basedOn w:val="BaseParagraph"/>
    <w:rsid w:val="008D58B7"/>
    <w:pPr>
      <w:tabs>
        <w:tab w:val="left" w:pos="4320"/>
        <w:tab w:val="left" w:pos="5040"/>
        <w:tab w:val="left" w:pos="9270"/>
      </w:tabs>
      <w:spacing w:before="480"/>
    </w:pPr>
  </w:style>
  <w:style w:type="paragraph" w:styleId="Title">
    <w:name w:val="Title"/>
    <w:basedOn w:val="BaseParagraph"/>
    <w:next w:val="BodyText"/>
    <w:qFormat/>
    <w:rsid w:val="008D58B7"/>
    <w:pPr>
      <w:keepNext/>
      <w:spacing w:after="120"/>
      <w:jc w:val="center"/>
    </w:pPr>
    <w:rPr>
      <w:b/>
      <w:caps/>
    </w:rPr>
  </w:style>
  <w:style w:type="paragraph" w:styleId="BalloonText">
    <w:name w:val="Balloon Text"/>
    <w:basedOn w:val="Normal"/>
    <w:link w:val="BalloonTextChar"/>
    <w:rsid w:val="0030556F"/>
    <w:rPr>
      <w:rFonts w:ascii="Tahoma" w:hAnsi="Tahoma" w:cs="Tahoma"/>
      <w:sz w:val="16"/>
      <w:szCs w:val="16"/>
    </w:rPr>
  </w:style>
  <w:style w:type="paragraph" w:customStyle="1" w:styleId="xAutoTextLookup">
    <w:name w:val="xAutoText Lookup"/>
    <w:basedOn w:val="BodyText"/>
    <w:rsid w:val="00687731"/>
  </w:style>
  <w:style w:type="paragraph" w:styleId="TOC1">
    <w:name w:val="toc 1"/>
    <w:basedOn w:val="Normal"/>
    <w:next w:val="Normal"/>
    <w:autoRedefine/>
    <w:semiHidden/>
    <w:rsid w:val="00DB61E7"/>
    <w:pPr>
      <w:spacing w:before="120" w:after="120"/>
    </w:pPr>
    <w:rPr>
      <w:b/>
      <w:bCs/>
      <w:caps/>
      <w:sz w:val="20"/>
    </w:rPr>
  </w:style>
  <w:style w:type="paragraph" w:styleId="TOC2">
    <w:name w:val="toc 2"/>
    <w:basedOn w:val="Normal"/>
    <w:next w:val="Normal"/>
    <w:autoRedefine/>
    <w:semiHidden/>
    <w:rsid w:val="00DB61E7"/>
    <w:pPr>
      <w:ind w:left="240"/>
    </w:pPr>
    <w:rPr>
      <w:smallCaps/>
      <w:sz w:val="20"/>
    </w:rPr>
  </w:style>
  <w:style w:type="paragraph" w:styleId="TOC3">
    <w:name w:val="toc 3"/>
    <w:basedOn w:val="Normal"/>
    <w:next w:val="Normal"/>
    <w:autoRedefine/>
    <w:semiHidden/>
    <w:rsid w:val="00DB61E7"/>
    <w:pPr>
      <w:ind w:left="480"/>
    </w:pPr>
    <w:rPr>
      <w:i/>
      <w:iCs/>
      <w:sz w:val="20"/>
    </w:rPr>
  </w:style>
  <w:style w:type="paragraph" w:styleId="TOC4">
    <w:name w:val="toc 4"/>
    <w:basedOn w:val="Normal"/>
    <w:next w:val="Normal"/>
    <w:autoRedefine/>
    <w:semiHidden/>
    <w:rsid w:val="00DB61E7"/>
    <w:pPr>
      <w:ind w:left="720"/>
    </w:pPr>
    <w:rPr>
      <w:sz w:val="18"/>
      <w:szCs w:val="18"/>
    </w:rPr>
  </w:style>
  <w:style w:type="paragraph" w:styleId="TOC5">
    <w:name w:val="toc 5"/>
    <w:basedOn w:val="Normal"/>
    <w:next w:val="Normal"/>
    <w:autoRedefine/>
    <w:semiHidden/>
    <w:rsid w:val="00DB61E7"/>
    <w:pPr>
      <w:ind w:left="960"/>
    </w:pPr>
    <w:rPr>
      <w:sz w:val="18"/>
      <w:szCs w:val="18"/>
    </w:rPr>
  </w:style>
  <w:style w:type="paragraph" w:styleId="TOC6">
    <w:name w:val="toc 6"/>
    <w:basedOn w:val="Normal"/>
    <w:next w:val="Normal"/>
    <w:autoRedefine/>
    <w:semiHidden/>
    <w:rsid w:val="00DB61E7"/>
    <w:pPr>
      <w:ind w:left="1200"/>
    </w:pPr>
    <w:rPr>
      <w:sz w:val="18"/>
      <w:szCs w:val="18"/>
    </w:rPr>
  </w:style>
  <w:style w:type="paragraph" w:styleId="TOC7">
    <w:name w:val="toc 7"/>
    <w:basedOn w:val="Normal"/>
    <w:next w:val="Normal"/>
    <w:autoRedefine/>
    <w:semiHidden/>
    <w:rsid w:val="00DB61E7"/>
    <w:pPr>
      <w:ind w:left="1440"/>
    </w:pPr>
    <w:rPr>
      <w:sz w:val="18"/>
      <w:szCs w:val="18"/>
    </w:rPr>
  </w:style>
  <w:style w:type="paragraph" w:styleId="TOC8">
    <w:name w:val="toc 8"/>
    <w:basedOn w:val="Normal"/>
    <w:next w:val="Normal"/>
    <w:autoRedefine/>
    <w:semiHidden/>
    <w:rsid w:val="00DB61E7"/>
    <w:pPr>
      <w:ind w:left="1680"/>
    </w:pPr>
    <w:rPr>
      <w:sz w:val="18"/>
      <w:szCs w:val="18"/>
    </w:rPr>
  </w:style>
  <w:style w:type="paragraph" w:styleId="TOC9">
    <w:name w:val="toc 9"/>
    <w:basedOn w:val="Normal"/>
    <w:next w:val="Normal"/>
    <w:autoRedefine/>
    <w:semiHidden/>
    <w:rsid w:val="00DB61E7"/>
    <w:pPr>
      <w:ind w:left="1920"/>
    </w:pPr>
    <w:rPr>
      <w:sz w:val="18"/>
      <w:szCs w:val="18"/>
    </w:rPr>
  </w:style>
  <w:style w:type="character" w:styleId="Hyperlink">
    <w:name w:val="Hyperlink"/>
    <w:rsid w:val="00630AB0"/>
    <w:rPr>
      <w:color w:val="0000FF"/>
      <w:u w:val="single"/>
    </w:rPr>
  </w:style>
  <w:style w:type="paragraph" w:styleId="ListBullet2">
    <w:name w:val="List Bullet 2"/>
    <w:basedOn w:val="Normal"/>
    <w:rsid w:val="00D566D7"/>
    <w:pPr>
      <w:numPr>
        <w:numId w:val="11"/>
      </w:numPr>
      <w:spacing w:before="120"/>
    </w:pPr>
  </w:style>
  <w:style w:type="paragraph" w:styleId="ListBullet3">
    <w:name w:val="List Bullet 3"/>
    <w:basedOn w:val="Normal"/>
    <w:rsid w:val="00D566D7"/>
    <w:pPr>
      <w:numPr>
        <w:numId w:val="12"/>
      </w:numPr>
      <w:spacing w:before="120"/>
    </w:pPr>
  </w:style>
  <w:style w:type="paragraph" w:customStyle="1" w:styleId="TableText">
    <w:name w:val="Table Text"/>
    <w:basedOn w:val="BodyText"/>
    <w:rsid w:val="008102EC"/>
  </w:style>
  <w:style w:type="character" w:styleId="Strong">
    <w:name w:val="Strong"/>
    <w:qFormat/>
    <w:rsid w:val="00630AB0"/>
    <w:rPr>
      <w:rFonts w:cs="Times New Roman"/>
      <w:b/>
      <w:bCs/>
    </w:rPr>
  </w:style>
  <w:style w:type="character" w:styleId="Emphasis">
    <w:name w:val="Emphasis"/>
    <w:uiPriority w:val="99"/>
    <w:qFormat/>
    <w:rsid w:val="00630AB0"/>
    <w:rPr>
      <w:rFonts w:cs="Times New Roman"/>
      <w:i/>
      <w:iCs/>
    </w:rPr>
  </w:style>
  <w:style w:type="paragraph" w:styleId="NormalWeb">
    <w:name w:val="Normal (Web)"/>
    <w:basedOn w:val="Normal"/>
    <w:uiPriority w:val="99"/>
    <w:rsid w:val="00630AB0"/>
    <w:pPr>
      <w:spacing w:before="100" w:beforeAutospacing="1" w:after="100" w:afterAutospacing="1"/>
    </w:pPr>
    <w:rPr>
      <w:color w:val="000000"/>
      <w:szCs w:val="24"/>
      <w:lang w:eastAsia="en-CA"/>
    </w:rPr>
  </w:style>
  <w:style w:type="character" w:customStyle="1" w:styleId="BalloonTextChar">
    <w:name w:val="Balloon Text Char"/>
    <w:link w:val="BalloonText"/>
    <w:rsid w:val="0030556F"/>
    <w:rPr>
      <w:rFonts w:ascii="Tahoma" w:hAnsi="Tahoma" w:cs="Tahoma"/>
      <w:sz w:val="16"/>
      <w:szCs w:val="16"/>
      <w:lang w:val="en-CA"/>
    </w:rPr>
  </w:style>
  <w:style w:type="character" w:styleId="CommentReference">
    <w:name w:val="annotation reference"/>
    <w:basedOn w:val="DefaultParagraphFont"/>
    <w:rsid w:val="00B804F4"/>
    <w:rPr>
      <w:sz w:val="16"/>
      <w:szCs w:val="16"/>
    </w:rPr>
  </w:style>
  <w:style w:type="paragraph" w:styleId="CommentText">
    <w:name w:val="annotation text"/>
    <w:basedOn w:val="Normal"/>
    <w:link w:val="CommentTextChar"/>
    <w:rsid w:val="00B804F4"/>
    <w:rPr>
      <w:sz w:val="20"/>
    </w:rPr>
  </w:style>
  <w:style w:type="character" w:customStyle="1" w:styleId="CommentTextChar">
    <w:name w:val="Comment Text Char"/>
    <w:basedOn w:val="DefaultParagraphFont"/>
    <w:link w:val="CommentText"/>
    <w:rsid w:val="00B804F4"/>
    <w:rPr>
      <w:lang w:val="en-CA"/>
    </w:rPr>
  </w:style>
  <w:style w:type="paragraph" w:styleId="CommentSubject">
    <w:name w:val="annotation subject"/>
    <w:basedOn w:val="CommentText"/>
    <w:next w:val="CommentText"/>
    <w:link w:val="CommentSubjectChar"/>
    <w:rsid w:val="00B804F4"/>
    <w:rPr>
      <w:b/>
      <w:bCs/>
    </w:rPr>
  </w:style>
  <w:style w:type="character" w:customStyle="1" w:styleId="CommentSubjectChar">
    <w:name w:val="Comment Subject Char"/>
    <w:basedOn w:val="CommentTextChar"/>
    <w:link w:val="CommentSubject"/>
    <w:rsid w:val="00B804F4"/>
    <w:rPr>
      <w:b/>
      <w:bCs/>
      <w:lang w:val="en-CA"/>
    </w:rPr>
  </w:style>
  <w:style w:type="character" w:customStyle="1" w:styleId="BodyTextChar">
    <w:name w:val="Body Text Char"/>
    <w:basedOn w:val="DefaultParagraphFont"/>
    <w:link w:val="BodyText"/>
    <w:rsid w:val="00BD2C45"/>
    <w:rPr>
      <w:sz w:val="22"/>
      <w:lang w:val="en-CA"/>
    </w:rPr>
  </w:style>
  <w:style w:type="character" w:customStyle="1" w:styleId="EasyID">
    <w:name w:val="EasyID"/>
    <w:basedOn w:val="DefaultParagraphFont"/>
    <w:rsid w:val="0099765E"/>
    <w:rPr>
      <w:rFonts w:ascii="Arial" w:hAnsi="Arial" w:cs="Arial"/>
      <w:b w:val="0"/>
      <w:bCs w:val="0"/>
      <w:sz w:val="14"/>
      <w:lang w:val="en-US" w:eastAsia="en-US" w:bidi="ar-SA"/>
    </w:rPr>
  </w:style>
  <w:style w:type="character" w:customStyle="1" w:styleId="Bullets">
    <w:name w:val="Bullets"/>
    <w:rsid w:val="005466AE"/>
    <w:rPr>
      <w:rFonts w:ascii="OpenSymbol" w:eastAsia="OpenSymbol" w:hAnsi="OpenSymbol" w:cs="OpenSymbol"/>
    </w:rPr>
  </w:style>
  <w:style w:type="character" w:customStyle="1" w:styleId="NoSpacingChar">
    <w:name w:val="No Spacing Char"/>
    <w:basedOn w:val="DefaultParagraphFont"/>
    <w:link w:val="NoSpacing"/>
    <w:locked/>
    <w:rsid w:val="005B0CFE"/>
    <w:rPr>
      <w:rFonts w:ascii="Trebuchet MS" w:hAnsi="Trebuchet MS"/>
    </w:rPr>
  </w:style>
  <w:style w:type="paragraph" w:styleId="NoSpacing">
    <w:name w:val="No Spacing"/>
    <w:basedOn w:val="Normal"/>
    <w:link w:val="NoSpacingChar"/>
    <w:qFormat/>
    <w:rsid w:val="005B0CFE"/>
    <w:rPr>
      <w:rFonts w:ascii="Trebuchet MS" w:hAnsi="Trebuchet M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859821">
      <w:bodyDiv w:val="1"/>
      <w:marLeft w:val="0"/>
      <w:marRight w:val="0"/>
      <w:marTop w:val="0"/>
      <w:marBottom w:val="0"/>
      <w:divBdr>
        <w:top w:val="none" w:sz="0" w:space="0" w:color="auto"/>
        <w:left w:val="none" w:sz="0" w:space="0" w:color="auto"/>
        <w:bottom w:val="none" w:sz="0" w:space="0" w:color="auto"/>
        <w:right w:val="none" w:sz="0" w:space="0" w:color="auto"/>
      </w:divBdr>
    </w:div>
    <w:div w:id="1129857650">
      <w:bodyDiv w:val="1"/>
      <w:marLeft w:val="0"/>
      <w:marRight w:val="0"/>
      <w:marTop w:val="0"/>
      <w:marBottom w:val="0"/>
      <w:divBdr>
        <w:top w:val="none" w:sz="0" w:space="0" w:color="auto"/>
        <w:left w:val="none" w:sz="0" w:space="0" w:color="auto"/>
        <w:bottom w:val="none" w:sz="0" w:space="0" w:color="auto"/>
        <w:right w:val="none" w:sz="0" w:space="0" w:color="auto"/>
      </w:divBdr>
    </w:div>
    <w:div w:id="1229262416">
      <w:bodyDiv w:val="1"/>
      <w:marLeft w:val="0"/>
      <w:marRight w:val="0"/>
      <w:marTop w:val="0"/>
      <w:marBottom w:val="0"/>
      <w:divBdr>
        <w:top w:val="none" w:sz="0" w:space="0" w:color="auto"/>
        <w:left w:val="none" w:sz="0" w:space="0" w:color="auto"/>
        <w:bottom w:val="none" w:sz="0" w:space="0" w:color="auto"/>
        <w:right w:val="none" w:sz="0" w:space="0" w:color="auto"/>
      </w:divBdr>
    </w:div>
    <w:div w:id="172753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evolvinggold.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evolvinggold.com" TargetMode="External"/><Relationship Id="rId1" Type="http://schemas.openxmlformats.org/officeDocument/2006/relationships/hyperlink" Target="mailto:info@evolvinggold.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evolvinggold.com" TargetMode="External"/><Relationship Id="rId1" Type="http://schemas.openxmlformats.org/officeDocument/2006/relationships/hyperlink" Target="mailto:info@evolvinggold.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b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Template>
  <TotalTime>1</TotalTime>
  <Pages>2</Pages>
  <Words>478</Words>
  <Characters>2731</Characters>
  <Application>Microsoft Office Word</Application>
  <DocSecurity>4</DocSecurity>
  <PresentationFormat/>
  <Lines>22</Lines>
  <Paragraphs>6</Paragraphs>
  <ScaleCrop>false</ScaleCrop>
  <HeadingPairs>
    <vt:vector size="2" baseType="variant">
      <vt:variant>
        <vt:lpstr>Title</vt:lpstr>
      </vt:variant>
      <vt:variant>
        <vt:i4>1</vt:i4>
      </vt:variant>
    </vt:vector>
  </HeadingPairs>
  <TitlesOfParts>
    <vt:vector size="1" baseType="lpstr">
      <vt:lpstr>News Release - March 2016 - GFG Update  (00461064.DOCX;1)</vt:lpstr>
    </vt:vector>
  </TitlesOfParts>
  <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 March 2016 - GFG Update  (00461064.DOCX;1)</dc:title>
  <dc:subject>00461064;1/Font=8</dc:subject>
  <dc:creator>Nick</dc:creator>
  <cp:lastModifiedBy>Chuck Jenkins</cp:lastModifiedBy>
  <cp:revision>2</cp:revision>
  <dcterms:created xsi:type="dcterms:W3CDTF">2016-03-02T19:44:00Z</dcterms:created>
  <dcterms:modified xsi:type="dcterms:W3CDTF">2016-03-02T19:44:00Z</dcterms:modified>
</cp:coreProperties>
</file>